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D6D" w:rsidRPr="00654685" w:rsidRDefault="00185E77" w:rsidP="006467DF">
      <w:pPr>
        <w:jc w:val="center"/>
        <w:rPr>
          <w:b/>
          <w:sz w:val="28"/>
          <w:szCs w:val="28"/>
        </w:rPr>
      </w:pPr>
      <w:r w:rsidRPr="00654685">
        <w:rPr>
          <w:b/>
          <w:sz w:val="28"/>
          <w:szCs w:val="28"/>
        </w:rPr>
        <w:t>P</w:t>
      </w:r>
      <w:r w:rsidR="00084D6D" w:rsidRPr="00654685">
        <w:rPr>
          <w:b/>
          <w:sz w:val="28"/>
          <w:szCs w:val="28"/>
        </w:rPr>
        <w:t>rogram on Independent Journalism</w:t>
      </w:r>
    </w:p>
    <w:p w:rsidR="00762995" w:rsidRPr="00654685" w:rsidRDefault="00762995" w:rsidP="00D168EC">
      <w:pPr>
        <w:ind w:left="142"/>
        <w:jc w:val="center"/>
        <w:rPr>
          <w:b/>
          <w:sz w:val="28"/>
          <w:szCs w:val="28"/>
        </w:rPr>
      </w:pPr>
    </w:p>
    <w:p w:rsidR="00762995" w:rsidRPr="00654685" w:rsidRDefault="00084D6D" w:rsidP="006467DF">
      <w:pPr>
        <w:jc w:val="center"/>
        <w:rPr>
          <w:b/>
          <w:sz w:val="28"/>
          <w:szCs w:val="28"/>
        </w:rPr>
      </w:pPr>
      <w:r w:rsidRPr="00654685">
        <w:rPr>
          <w:b/>
          <w:sz w:val="28"/>
          <w:szCs w:val="28"/>
        </w:rPr>
        <w:t>P</w:t>
      </w:r>
      <w:r w:rsidR="00185E77" w:rsidRPr="00654685">
        <w:rPr>
          <w:b/>
          <w:sz w:val="28"/>
          <w:szCs w:val="28"/>
        </w:rPr>
        <w:t xml:space="preserve">ortfolio </w:t>
      </w:r>
      <w:bookmarkStart w:id="0" w:name="_GoBack"/>
      <w:bookmarkEnd w:id="0"/>
      <w:r w:rsidR="00185E77" w:rsidRPr="00654685">
        <w:rPr>
          <w:b/>
          <w:sz w:val="28"/>
          <w:szCs w:val="28"/>
        </w:rPr>
        <w:t xml:space="preserve">Review: </w:t>
      </w:r>
    </w:p>
    <w:p w:rsidR="00774FFB" w:rsidRPr="00654685" w:rsidRDefault="00774FFB" w:rsidP="006467DF">
      <w:pPr>
        <w:jc w:val="center"/>
        <w:rPr>
          <w:b/>
          <w:sz w:val="28"/>
          <w:szCs w:val="28"/>
        </w:rPr>
      </w:pPr>
    </w:p>
    <w:p w:rsidR="00932322" w:rsidRPr="00654685" w:rsidRDefault="00D16BD4" w:rsidP="00932322">
      <w:pPr>
        <w:jc w:val="center"/>
        <w:rPr>
          <w:b/>
          <w:i/>
          <w:sz w:val="28"/>
          <w:szCs w:val="28"/>
        </w:rPr>
      </w:pPr>
      <w:r w:rsidRPr="00654685">
        <w:rPr>
          <w:b/>
          <w:i/>
          <w:sz w:val="28"/>
          <w:szCs w:val="28"/>
        </w:rPr>
        <w:t xml:space="preserve">Addressing </w:t>
      </w:r>
      <w:r w:rsidR="003E0DB7">
        <w:rPr>
          <w:b/>
          <w:i/>
          <w:sz w:val="28"/>
          <w:szCs w:val="28"/>
        </w:rPr>
        <w:t xml:space="preserve">key </w:t>
      </w:r>
      <w:r w:rsidRPr="00654685">
        <w:rPr>
          <w:b/>
          <w:i/>
          <w:sz w:val="28"/>
          <w:szCs w:val="28"/>
        </w:rPr>
        <w:t>legal challenges to freedom of expression</w:t>
      </w:r>
    </w:p>
    <w:p w:rsidR="00774FFB" w:rsidRPr="00654685" w:rsidRDefault="00774FFB" w:rsidP="006467DF">
      <w:pPr>
        <w:jc w:val="center"/>
        <w:rPr>
          <w:b/>
          <w:sz w:val="28"/>
          <w:szCs w:val="28"/>
        </w:rPr>
      </w:pPr>
    </w:p>
    <w:p w:rsidR="00774FFB" w:rsidRPr="00654685" w:rsidRDefault="00774FFB" w:rsidP="006467DF">
      <w:pPr>
        <w:jc w:val="center"/>
        <w:rPr>
          <w:b/>
          <w:sz w:val="28"/>
          <w:szCs w:val="28"/>
        </w:rPr>
      </w:pPr>
    </w:p>
    <w:p w:rsidR="00084D6D" w:rsidRPr="00654685" w:rsidRDefault="00EF1E95" w:rsidP="006467DF">
      <w:pPr>
        <w:jc w:val="center"/>
        <w:rPr>
          <w:b/>
          <w:sz w:val="28"/>
          <w:szCs w:val="28"/>
        </w:rPr>
      </w:pPr>
      <w:r>
        <w:rPr>
          <w:b/>
          <w:sz w:val="28"/>
          <w:szCs w:val="28"/>
        </w:rPr>
        <w:t>May 1,</w:t>
      </w:r>
      <w:r w:rsidR="00084D6D" w:rsidRPr="00654685">
        <w:rPr>
          <w:b/>
          <w:sz w:val="28"/>
          <w:szCs w:val="28"/>
        </w:rPr>
        <w:t xml:space="preserve"> 2014</w:t>
      </w:r>
    </w:p>
    <w:p w:rsidR="00084D6D" w:rsidRPr="00654685" w:rsidRDefault="00084D6D">
      <w:pPr>
        <w:rPr>
          <w:b/>
          <w:sz w:val="28"/>
          <w:szCs w:val="28"/>
        </w:rPr>
      </w:pPr>
      <w:r w:rsidRPr="00654685">
        <w:rPr>
          <w:b/>
          <w:sz w:val="28"/>
          <w:szCs w:val="28"/>
        </w:rPr>
        <w:br w:type="page"/>
      </w:r>
    </w:p>
    <w:sdt>
      <w:sdtPr>
        <w:rPr>
          <w:rFonts w:asciiTheme="minorHAnsi" w:eastAsiaTheme="minorHAnsi" w:hAnsiTheme="minorHAnsi" w:cstheme="minorBidi"/>
          <w:b w:val="0"/>
          <w:bCs w:val="0"/>
          <w:color w:val="auto"/>
          <w:sz w:val="20"/>
          <w:szCs w:val="20"/>
          <w:lang w:val="en-GB" w:eastAsia="en-US"/>
        </w:rPr>
        <w:id w:val="-806320285"/>
        <w:docPartObj>
          <w:docPartGallery w:val="Table of Contents"/>
          <w:docPartUnique/>
        </w:docPartObj>
      </w:sdtPr>
      <w:sdtEndPr/>
      <w:sdtContent>
        <w:p w:rsidR="002C3EF9" w:rsidRPr="00DB2795" w:rsidRDefault="002C3EF9">
          <w:pPr>
            <w:pStyle w:val="TOCHeading"/>
            <w:rPr>
              <w:sz w:val="20"/>
              <w:szCs w:val="20"/>
            </w:rPr>
          </w:pPr>
          <w:r w:rsidRPr="00DB2795">
            <w:rPr>
              <w:sz w:val="20"/>
              <w:szCs w:val="20"/>
            </w:rPr>
            <w:t>Table of Contents</w:t>
          </w:r>
        </w:p>
        <w:p w:rsidR="002C3EF9" w:rsidRPr="00DB2795" w:rsidRDefault="009A7B7B">
          <w:pPr>
            <w:pStyle w:val="TOC1"/>
            <w:ind w:left="360"/>
            <w:rPr>
              <w:b/>
              <w:sz w:val="20"/>
              <w:szCs w:val="20"/>
            </w:rPr>
          </w:pPr>
          <w:r w:rsidRPr="00DB2795">
            <w:rPr>
              <w:b/>
              <w:bCs/>
              <w:sz w:val="20"/>
              <w:szCs w:val="20"/>
            </w:rPr>
            <w:t xml:space="preserve">I. </w:t>
          </w:r>
          <w:r w:rsidR="002C3EF9" w:rsidRPr="00DB2795">
            <w:rPr>
              <w:b/>
              <w:bCs/>
              <w:sz w:val="20"/>
              <w:szCs w:val="20"/>
            </w:rPr>
            <w:t>Executive Summary</w:t>
          </w:r>
          <w:r w:rsidR="002C3EF9" w:rsidRPr="00DB2795">
            <w:rPr>
              <w:b/>
              <w:sz w:val="20"/>
              <w:szCs w:val="20"/>
            </w:rPr>
            <w:ptab w:relativeTo="margin" w:alignment="right" w:leader="dot"/>
          </w:r>
          <w:r w:rsidR="002C3EF9" w:rsidRPr="00DB2795">
            <w:rPr>
              <w:b/>
              <w:bCs/>
              <w:sz w:val="20"/>
              <w:szCs w:val="20"/>
            </w:rPr>
            <w:t>1</w:t>
          </w:r>
        </w:p>
        <w:p w:rsidR="002C3EF9" w:rsidRPr="00DB2795" w:rsidRDefault="00D24840">
          <w:pPr>
            <w:pStyle w:val="TOC2"/>
            <w:ind w:left="216" w:firstLine="144"/>
            <w:rPr>
              <w:b/>
              <w:sz w:val="20"/>
              <w:szCs w:val="20"/>
            </w:rPr>
          </w:pPr>
          <w:r w:rsidRPr="00DB2795">
            <w:rPr>
              <w:b/>
              <w:bCs/>
              <w:sz w:val="20"/>
              <w:szCs w:val="20"/>
              <w:lang w:val="en-GB"/>
            </w:rPr>
            <w:t>II</w:t>
          </w:r>
          <w:r w:rsidR="00834687" w:rsidRPr="00DB2795">
            <w:rPr>
              <w:b/>
              <w:bCs/>
              <w:sz w:val="20"/>
              <w:szCs w:val="20"/>
              <w:lang w:val="en-GB"/>
            </w:rPr>
            <w:t xml:space="preserve">. </w:t>
          </w:r>
          <w:r w:rsidR="00956B94" w:rsidRPr="00DB2795">
            <w:rPr>
              <w:b/>
              <w:bCs/>
              <w:sz w:val="20"/>
              <w:szCs w:val="20"/>
              <w:lang w:val="en-GB"/>
            </w:rPr>
            <w:t>Analysis and Clarification of Freedom of Expression Strategy from 2012-2013</w:t>
          </w:r>
          <w:r w:rsidR="002C3EF9" w:rsidRPr="00DB2795">
            <w:rPr>
              <w:b/>
              <w:bCs/>
              <w:sz w:val="20"/>
              <w:szCs w:val="20"/>
              <w:lang w:val="en-GB"/>
            </w:rPr>
            <w:t xml:space="preserve"> </w:t>
          </w:r>
          <w:r w:rsidR="002C3EF9" w:rsidRPr="00DB2795">
            <w:rPr>
              <w:b/>
              <w:sz w:val="20"/>
              <w:szCs w:val="20"/>
            </w:rPr>
            <w:ptab w:relativeTo="margin" w:alignment="right" w:leader="dot"/>
          </w:r>
          <w:r w:rsidR="00572FDB">
            <w:rPr>
              <w:b/>
              <w:sz w:val="20"/>
              <w:szCs w:val="20"/>
            </w:rPr>
            <w:t>3</w:t>
          </w:r>
        </w:p>
        <w:p w:rsidR="002C3EF9" w:rsidRPr="00DB2795" w:rsidRDefault="00D24840">
          <w:pPr>
            <w:pStyle w:val="TOC1"/>
            <w:ind w:firstLine="360"/>
            <w:rPr>
              <w:b/>
              <w:sz w:val="20"/>
              <w:szCs w:val="20"/>
            </w:rPr>
          </w:pPr>
          <w:r w:rsidRPr="00DB2795">
            <w:rPr>
              <w:b/>
              <w:bCs/>
              <w:sz w:val="20"/>
              <w:szCs w:val="20"/>
            </w:rPr>
            <w:t>III</w:t>
          </w:r>
          <w:r w:rsidR="00834687" w:rsidRPr="00DB2795">
            <w:rPr>
              <w:b/>
              <w:bCs/>
              <w:sz w:val="20"/>
              <w:szCs w:val="20"/>
            </w:rPr>
            <w:t xml:space="preserve">. Assessment of the </w:t>
          </w:r>
          <w:r w:rsidR="00774FFB" w:rsidRPr="00DB2795">
            <w:rPr>
              <w:b/>
              <w:bCs/>
              <w:sz w:val="20"/>
              <w:szCs w:val="20"/>
            </w:rPr>
            <w:t>F</w:t>
          </w:r>
          <w:r w:rsidR="00834687" w:rsidRPr="00DB2795">
            <w:rPr>
              <w:b/>
              <w:bCs/>
              <w:sz w:val="20"/>
              <w:szCs w:val="20"/>
            </w:rPr>
            <w:t>ield and the</w:t>
          </w:r>
          <w:r w:rsidR="00735970" w:rsidRPr="00DB2795">
            <w:rPr>
              <w:b/>
              <w:bCs/>
              <w:sz w:val="20"/>
              <w:szCs w:val="20"/>
            </w:rPr>
            <w:t xml:space="preserve"> </w:t>
          </w:r>
          <w:r w:rsidR="00774FFB" w:rsidRPr="00DB2795">
            <w:rPr>
              <w:b/>
              <w:bCs/>
              <w:sz w:val="20"/>
              <w:szCs w:val="20"/>
            </w:rPr>
            <w:t>M</w:t>
          </w:r>
          <w:r w:rsidR="00735970" w:rsidRPr="00DB2795">
            <w:rPr>
              <w:b/>
              <w:bCs/>
              <w:sz w:val="20"/>
              <w:szCs w:val="20"/>
            </w:rPr>
            <w:t xml:space="preserve">ain </w:t>
          </w:r>
          <w:r w:rsidR="00774FFB" w:rsidRPr="00DB2795">
            <w:rPr>
              <w:b/>
              <w:bCs/>
              <w:sz w:val="20"/>
              <w:szCs w:val="20"/>
            </w:rPr>
            <w:t>P</w:t>
          </w:r>
          <w:r w:rsidR="00735970" w:rsidRPr="00DB2795">
            <w:rPr>
              <w:b/>
              <w:bCs/>
              <w:sz w:val="20"/>
              <w:szCs w:val="20"/>
            </w:rPr>
            <w:t>layers</w:t>
          </w:r>
          <w:r w:rsidR="002C3EF9" w:rsidRPr="00DB2795">
            <w:rPr>
              <w:b/>
              <w:bCs/>
              <w:sz w:val="20"/>
              <w:szCs w:val="20"/>
            </w:rPr>
            <w:t xml:space="preserve"> </w:t>
          </w:r>
          <w:r w:rsidR="002C3EF9" w:rsidRPr="00DB2795">
            <w:rPr>
              <w:b/>
              <w:sz w:val="20"/>
              <w:szCs w:val="20"/>
            </w:rPr>
            <w:ptab w:relativeTo="margin" w:alignment="right" w:leader="dot"/>
          </w:r>
          <w:r w:rsidR="002C3EF9" w:rsidRPr="00DB2795">
            <w:rPr>
              <w:b/>
              <w:bCs/>
              <w:sz w:val="20"/>
              <w:szCs w:val="20"/>
            </w:rPr>
            <w:t>4</w:t>
          </w:r>
        </w:p>
        <w:p w:rsidR="009A7B7B" w:rsidRPr="00DB2795" w:rsidRDefault="009A7B7B">
          <w:pPr>
            <w:pStyle w:val="TOC3"/>
            <w:rPr>
              <w:sz w:val="20"/>
              <w:szCs w:val="20"/>
            </w:rPr>
          </w:pPr>
          <w:r w:rsidRPr="00DB2795">
            <w:rPr>
              <w:sz w:val="20"/>
              <w:szCs w:val="20"/>
            </w:rPr>
            <w:t xml:space="preserve">  I</w:t>
          </w:r>
          <w:r w:rsidR="00D24840" w:rsidRPr="00DB2795">
            <w:rPr>
              <w:sz w:val="20"/>
              <w:szCs w:val="20"/>
            </w:rPr>
            <w:t>V</w:t>
          </w:r>
          <w:r w:rsidR="000C362D" w:rsidRPr="00DB2795">
            <w:rPr>
              <w:sz w:val="20"/>
              <w:szCs w:val="20"/>
            </w:rPr>
            <w:t xml:space="preserve">. </w:t>
          </w:r>
          <w:r w:rsidR="00693DA9" w:rsidRPr="00DB2795">
            <w:rPr>
              <w:sz w:val="20"/>
              <w:szCs w:val="20"/>
            </w:rPr>
            <w:t xml:space="preserve">Assessment of Freedom of Expression Grants </w:t>
          </w:r>
          <w:r w:rsidR="002C3EF9" w:rsidRPr="00DB2795">
            <w:rPr>
              <w:sz w:val="20"/>
              <w:szCs w:val="20"/>
            </w:rPr>
            <w:t xml:space="preserve"> </w:t>
          </w:r>
          <w:r w:rsidR="002C3EF9" w:rsidRPr="00DB2795">
            <w:rPr>
              <w:sz w:val="20"/>
              <w:szCs w:val="20"/>
            </w:rPr>
            <w:ptab w:relativeTo="margin" w:alignment="right" w:leader="dot"/>
          </w:r>
          <w:r w:rsidR="00572FDB">
            <w:rPr>
              <w:sz w:val="20"/>
              <w:szCs w:val="20"/>
            </w:rPr>
            <w:t>5</w:t>
          </w:r>
        </w:p>
        <w:p w:rsidR="002C3EF9" w:rsidRPr="00DB2795" w:rsidRDefault="009A7B7B" w:rsidP="00D24FED">
          <w:pPr>
            <w:rPr>
              <w:sz w:val="20"/>
              <w:szCs w:val="20"/>
            </w:rPr>
          </w:pPr>
          <w:r w:rsidRPr="00DB2795">
            <w:rPr>
              <w:b/>
              <w:sz w:val="20"/>
              <w:szCs w:val="20"/>
            </w:rPr>
            <w:t xml:space="preserve">         V. Lessons Learned and Questions for Our Future Work……………………………………………………</w:t>
          </w:r>
          <w:r w:rsidR="00654685">
            <w:rPr>
              <w:b/>
              <w:sz w:val="20"/>
              <w:szCs w:val="20"/>
            </w:rPr>
            <w:t>……………..</w:t>
          </w:r>
          <w:r w:rsidRPr="00DB2795">
            <w:rPr>
              <w:b/>
              <w:sz w:val="20"/>
              <w:szCs w:val="20"/>
            </w:rPr>
            <w:t>….</w:t>
          </w:r>
          <w:r w:rsidR="00572FDB">
            <w:rPr>
              <w:b/>
              <w:sz w:val="20"/>
              <w:szCs w:val="20"/>
            </w:rPr>
            <w:t>10</w:t>
          </w:r>
        </w:p>
      </w:sdtContent>
    </w:sdt>
    <w:p w:rsidR="009F3F9C" w:rsidRPr="00DB2795" w:rsidRDefault="00084D6D" w:rsidP="009A7B7B">
      <w:pPr>
        <w:pStyle w:val="Heading1"/>
        <w:rPr>
          <w:sz w:val="20"/>
          <w:szCs w:val="20"/>
        </w:rPr>
      </w:pPr>
      <w:r w:rsidRPr="00DB2795">
        <w:rPr>
          <w:sz w:val="20"/>
          <w:szCs w:val="20"/>
        </w:rPr>
        <w:t xml:space="preserve">I. </w:t>
      </w:r>
      <w:r w:rsidR="009F3F9C" w:rsidRPr="00DB2795">
        <w:rPr>
          <w:sz w:val="20"/>
          <w:szCs w:val="20"/>
        </w:rPr>
        <w:t>Executive Summary</w:t>
      </w:r>
    </w:p>
    <w:p w:rsidR="00F47C6E" w:rsidRPr="00DB2795" w:rsidRDefault="00F47C6E" w:rsidP="00F47C6E">
      <w:pPr>
        <w:jc w:val="both"/>
        <w:rPr>
          <w:i/>
          <w:sz w:val="20"/>
          <w:szCs w:val="20"/>
        </w:rPr>
      </w:pPr>
      <w:r w:rsidRPr="00DB2795">
        <w:rPr>
          <w:i/>
          <w:sz w:val="20"/>
          <w:szCs w:val="20"/>
        </w:rPr>
        <w:t>Scope of Review</w:t>
      </w:r>
    </w:p>
    <w:p w:rsidR="00064314" w:rsidRPr="00DB2795" w:rsidRDefault="008E76E2" w:rsidP="008D7F0F">
      <w:pPr>
        <w:spacing w:after="0" w:line="240" w:lineRule="auto"/>
        <w:rPr>
          <w:rFonts w:eastAsia="Calibri" w:cs="Times New Roman"/>
          <w:sz w:val="20"/>
          <w:szCs w:val="20"/>
        </w:rPr>
      </w:pPr>
      <w:r w:rsidRPr="00DB2795">
        <w:rPr>
          <w:rFonts w:eastAsia="Calibri" w:cs="Times New Roman"/>
          <w:sz w:val="20"/>
          <w:szCs w:val="20"/>
        </w:rPr>
        <w:t xml:space="preserve">The aim of this Portfolio Review is to assess whether in the absence of a clearly defined freedom of expression strategy in 2012-2013 our grant-making </w:t>
      </w:r>
      <w:r w:rsidR="00932322" w:rsidRPr="00DB2795">
        <w:rPr>
          <w:rFonts w:eastAsia="Calibri" w:cs="Times New Roman"/>
          <w:sz w:val="20"/>
          <w:szCs w:val="20"/>
        </w:rPr>
        <w:t>efforts and attempts at networking have</w:t>
      </w:r>
      <w:r w:rsidRPr="00DB2795">
        <w:rPr>
          <w:rFonts w:eastAsia="Calibri" w:cs="Times New Roman"/>
          <w:sz w:val="20"/>
          <w:szCs w:val="20"/>
        </w:rPr>
        <w:t xml:space="preserve"> been effective </w:t>
      </w:r>
      <w:r w:rsidR="007E4E9A" w:rsidRPr="00DB2795">
        <w:rPr>
          <w:rFonts w:eastAsia="Calibri" w:cs="Times New Roman"/>
          <w:sz w:val="20"/>
          <w:szCs w:val="20"/>
        </w:rPr>
        <w:t>in supporting the</w:t>
      </w:r>
      <w:r w:rsidRPr="00DB2795">
        <w:rPr>
          <w:rFonts w:eastAsia="Calibri" w:cs="Times New Roman"/>
          <w:sz w:val="20"/>
          <w:szCs w:val="20"/>
        </w:rPr>
        <w:t xml:space="preserve"> development </w:t>
      </w:r>
      <w:r w:rsidR="00486286" w:rsidRPr="00DB2795">
        <w:rPr>
          <w:rFonts w:eastAsia="Calibri" w:cs="Times New Roman"/>
          <w:sz w:val="20"/>
          <w:szCs w:val="20"/>
        </w:rPr>
        <w:t xml:space="preserve">of </w:t>
      </w:r>
      <w:r w:rsidR="007E4E9A" w:rsidRPr="00DB2795">
        <w:rPr>
          <w:rFonts w:eastAsia="Calibri" w:cs="Times New Roman"/>
          <w:sz w:val="20"/>
          <w:szCs w:val="20"/>
        </w:rPr>
        <w:t xml:space="preserve">organizations and </w:t>
      </w:r>
      <w:r w:rsidR="00FB0ECB" w:rsidRPr="00DB2795">
        <w:rPr>
          <w:rFonts w:eastAsia="Calibri" w:cs="Times New Roman"/>
          <w:sz w:val="20"/>
          <w:szCs w:val="20"/>
        </w:rPr>
        <w:t xml:space="preserve">multi-stakeholder </w:t>
      </w:r>
      <w:r w:rsidRPr="00DB2795">
        <w:rPr>
          <w:rFonts w:eastAsia="Calibri" w:cs="Times New Roman"/>
          <w:sz w:val="20"/>
          <w:szCs w:val="20"/>
        </w:rPr>
        <w:t xml:space="preserve">coalitions </w:t>
      </w:r>
      <w:r w:rsidR="00FB0ECB" w:rsidRPr="00DB2795">
        <w:rPr>
          <w:rFonts w:eastAsia="Calibri" w:cs="Times New Roman"/>
          <w:sz w:val="20"/>
          <w:szCs w:val="20"/>
        </w:rPr>
        <w:t>engaged in addressing</w:t>
      </w:r>
      <w:r w:rsidRPr="00DB2795">
        <w:rPr>
          <w:rFonts w:eastAsia="Calibri" w:cs="Times New Roman"/>
          <w:sz w:val="20"/>
          <w:szCs w:val="20"/>
        </w:rPr>
        <w:t xml:space="preserve"> key legal challenges to freedom of expression.</w:t>
      </w:r>
      <w:r w:rsidR="00932322" w:rsidRPr="00DB2795">
        <w:rPr>
          <w:rFonts w:eastAsia="Calibri" w:cs="Times New Roman"/>
          <w:sz w:val="20"/>
          <w:szCs w:val="20"/>
        </w:rPr>
        <w:t xml:space="preserve"> </w:t>
      </w:r>
    </w:p>
    <w:p w:rsidR="00932322" w:rsidRPr="00DB2795" w:rsidRDefault="00932322" w:rsidP="008D7F0F">
      <w:pPr>
        <w:spacing w:after="0" w:line="240" w:lineRule="auto"/>
        <w:rPr>
          <w:rFonts w:eastAsia="Calibri" w:cs="Times New Roman"/>
          <w:sz w:val="20"/>
          <w:szCs w:val="20"/>
        </w:rPr>
      </w:pPr>
    </w:p>
    <w:p w:rsidR="00ED4BB2" w:rsidRPr="00DB2795" w:rsidRDefault="008E76E2" w:rsidP="008D7F0F">
      <w:pPr>
        <w:spacing w:after="0" w:line="240" w:lineRule="auto"/>
        <w:rPr>
          <w:sz w:val="20"/>
          <w:szCs w:val="20"/>
        </w:rPr>
      </w:pPr>
      <w:r w:rsidRPr="00DB2795">
        <w:rPr>
          <w:rFonts w:eastAsia="Calibri" w:cs="Times New Roman"/>
          <w:sz w:val="20"/>
          <w:szCs w:val="20"/>
          <w:lang w:val="en-US"/>
        </w:rPr>
        <w:t xml:space="preserve">The review will focus on </w:t>
      </w:r>
      <w:r w:rsidR="00064314" w:rsidRPr="00DB2795">
        <w:rPr>
          <w:rFonts w:eastAsia="Calibri" w:cs="Times New Roman"/>
          <w:sz w:val="20"/>
          <w:szCs w:val="20"/>
          <w:lang w:val="en-US"/>
        </w:rPr>
        <w:t xml:space="preserve">four key areas of engagement within the past two years, including: </w:t>
      </w:r>
      <w:r w:rsidR="003227C1" w:rsidRPr="00DB2795">
        <w:rPr>
          <w:rFonts w:eastAsia="Calibri" w:cs="Times New Roman"/>
          <w:sz w:val="20"/>
          <w:szCs w:val="20"/>
          <w:lang w:val="en-US"/>
        </w:rPr>
        <w:t xml:space="preserve">1) </w:t>
      </w:r>
      <w:r w:rsidR="00161BC2" w:rsidRPr="00DB2795">
        <w:rPr>
          <w:sz w:val="20"/>
          <w:szCs w:val="20"/>
        </w:rPr>
        <w:t>legal standard-setting</w:t>
      </w:r>
      <w:r w:rsidR="00064314" w:rsidRPr="00DB2795">
        <w:rPr>
          <w:sz w:val="20"/>
          <w:szCs w:val="20"/>
        </w:rPr>
        <w:t xml:space="preserve"> with inter-governmental organizations</w:t>
      </w:r>
      <w:r w:rsidR="002F42B2" w:rsidRPr="00DB2795">
        <w:rPr>
          <w:sz w:val="20"/>
          <w:szCs w:val="20"/>
        </w:rPr>
        <w:t xml:space="preserve">; 2) </w:t>
      </w:r>
      <w:r w:rsidR="006F0EF3" w:rsidRPr="00DB2795">
        <w:rPr>
          <w:sz w:val="20"/>
          <w:szCs w:val="20"/>
        </w:rPr>
        <w:t xml:space="preserve">safety and protection mechanisms for journalists; </w:t>
      </w:r>
      <w:r w:rsidR="002F42B2" w:rsidRPr="00DB2795">
        <w:rPr>
          <w:sz w:val="20"/>
          <w:szCs w:val="20"/>
        </w:rPr>
        <w:t>3)</w:t>
      </w:r>
      <w:r w:rsidR="00741E27" w:rsidRPr="00DB2795">
        <w:rPr>
          <w:sz w:val="20"/>
          <w:szCs w:val="20"/>
        </w:rPr>
        <w:t xml:space="preserve"> </w:t>
      </w:r>
      <w:r w:rsidR="006F0EF3" w:rsidRPr="00DB2795">
        <w:rPr>
          <w:sz w:val="20"/>
          <w:szCs w:val="20"/>
        </w:rPr>
        <w:t>legal defence and litigation support for journalists and media outlets</w:t>
      </w:r>
      <w:r w:rsidR="000B4195" w:rsidRPr="00DB2795">
        <w:rPr>
          <w:sz w:val="20"/>
          <w:szCs w:val="20"/>
        </w:rPr>
        <w:t>;</w:t>
      </w:r>
      <w:r w:rsidR="002F42B2" w:rsidRPr="00DB2795">
        <w:rPr>
          <w:sz w:val="20"/>
          <w:szCs w:val="20"/>
        </w:rPr>
        <w:t xml:space="preserve"> and 4)</w:t>
      </w:r>
      <w:r w:rsidR="009747A4" w:rsidRPr="00DB2795">
        <w:rPr>
          <w:sz w:val="20"/>
          <w:szCs w:val="20"/>
        </w:rPr>
        <w:t xml:space="preserve"> media law reform</w:t>
      </w:r>
      <w:r w:rsidR="003118D1" w:rsidRPr="00DB2795">
        <w:rPr>
          <w:sz w:val="20"/>
          <w:szCs w:val="20"/>
        </w:rPr>
        <w:t xml:space="preserve"> and</w:t>
      </w:r>
      <w:r w:rsidR="000B4195" w:rsidRPr="00DB2795">
        <w:rPr>
          <w:sz w:val="20"/>
          <w:szCs w:val="20"/>
        </w:rPr>
        <w:t xml:space="preserve"> research.</w:t>
      </w:r>
      <w:r w:rsidR="00B05E32" w:rsidRPr="00DB2795">
        <w:rPr>
          <w:sz w:val="20"/>
          <w:szCs w:val="20"/>
        </w:rPr>
        <w:t xml:space="preserve"> Our review includes an analysis of each of these areas of work, </w:t>
      </w:r>
      <w:r w:rsidR="00866177" w:rsidRPr="00DB2795">
        <w:rPr>
          <w:sz w:val="20"/>
          <w:szCs w:val="20"/>
        </w:rPr>
        <w:t>first as measured against our actual strategies for 2012-2013</w:t>
      </w:r>
      <w:r w:rsidR="00084D6D" w:rsidRPr="00DB2795">
        <w:rPr>
          <w:sz w:val="20"/>
          <w:szCs w:val="20"/>
        </w:rPr>
        <w:t>,</w:t>
      </w:r>
      <w:r w:rsidR="00E031C7" w:rsidRPr="00DB2795">
        <w:rPr>
          <w:sz w:val="20"/>
          <w:szCs w:val="20"/>
        </w:rPr>
        <w:t xml:space="preserve"> in section two below</w:t>
      </w:r>
      <w:r w:rsidR="00084D6D" w:rsidRPr="00DB2795">
        <w:rPr>
          <w:sz w:val="20"/>
          <w:szCs w:val="20"/>
        </w:rPr>
        <w:t>,</w:t>
      </w:r>
      <w:r w:rsidR="00866177" w:rsidRPr="00DB2795">
        <w:rPr>
          <w:sz w:val="20"/>
          <w:szCs w:val="20"/>
        </w:rPr>
        <w:t xml:space="preserve"> and then through </w:t>
      </w:r>
      <w:r w:rsidRPr="00DB2795">
        <w:rPr>
          <w:sz w:val="20"/>
          <w:szCs w:val="20"/>
        </w:rPr>
        <w:t xml:space="preserve">our </w:t>
      </w:r>
      <w:r w:rsidR="00866177" w:rsidRPr="00DB2795">
        <w:rPr>
          <w:sz w:val="20"/>
          <w:szCs w:val="20"/>
        </w:rPr>
        <w:t xml:space="preserve">assessment of </w:t>
      </w:r>
      <w:r w:rsidRPr="00DB2795">
        <w:rPr>
          <w:sz w:val="20"/>
          <w:szCs w:val="20"/>
        </w:rPr>
        <w:t>our grant</w:t>
      </w:r>
      <w:r w:rsidR="00044133">
        <w:rPr>
          <w:sz w:val="20"/>
          <w:szCs w:val="20"/>
        </w:rPr>
        <w:t xml:space="preserve"> </w:t>
      </w:r>
      <w:r w:rsidRPr="00DB2795">
        <w:rPr>
          <w:sz w:val="20"/>
          <w:szCs w:val="20"/>
        </w:rPr>
        <w:t xml:space="preserve">making in section four of this document. </w:t>
      </w:r>
    </w:p>
    <w:p w:rsidR="008E76E2" w:rsidRPr="00DB2795" w:rsidRDefault="008E76E2" w:rsidP="008D7F0F">
      <w:pPr>
        <w:spacing w:after="0" w:line="240" w:lineRule="auto"/>
        <w:rPr>
          <w:sz w:val="20"/>
          <w:szCs w:val="20"/>
        </w:rPr>
      </w:pPr>
    </w:p>
    <w:p w:rsidR="009C08DF" w:rsidRPr="00DB2795" w:rsidRDefault="009C08DF" w:rsidP="008D7F0F">
      <w:pPr>
        <w:spacing w:after="0" w:line="240" w:lineRule="auto"/>
        <w:rPr>
          <w:sz w:val="20"/>
          <w:szCs w:val="20"/>
        </w:rPr>
      </w:pPr>
      <w:r w:rsidRPr="00DB2795">
        <w:rPr>
          <w:rFonts w:eastAsia="Calibri" w:cs="Times New Roman"/>
          <w:sz w:val="20"/>
          <w:szCs w:val="20"/>
          <w:lang w:val="en-US"/>
        </w:rPr>
        <w:t xml:space="preserve">Our review includes an </w:t>
      </w:r>
      <w:r w:rsidR="000D3E2B" w:rsidRPr="00DB2795">
        <w:rPr>
          <w:sz w:val="20"/>
          <w:szCs w:val="20"/>
        </w:rPr>
        <w:t>assessment of</w:t>
      </w:r>
      <w:r w:rsidR="00364798" w:rsidRPr="00DB2795">
        <w:rPr>
          <w:sz w:val="20"/>
          <w:szCs w:val="20"/>
        </w:rPr>
        <w:t xml:space="preserve"> 23 grants to 17 organizations over the two-year period from 2012 to 2013 (and referencing one grant in 2014)</w:t>
      </w:r>
      <w:r w:rsidR="00084D6D" w:rsidRPr="00DB2795">
        <w:rPr>
          <w:sz w:val="20"/>
          <w:szCs w:val="20"/>
        </w:rPr>
        <w:t xml:space="preserve">. The </w:t>
      </w:r>
      <w:r w:rsidR="00364798" w:rsidRPr="00DB2795">
        <w:rPr>
          <w:sz w:val="20"/>
          <w:szCs w:val="20"/>
        </w:rPr>
        <w:t xml:space="preserve">total </w:t>
      </w:r>
      <w:r w:rsidR="00084D6D" w:rsidRPr="00DB2795">
        <w:rPr>
          <w:sz w:val="20"/>
          <w:szCs w:val="20"/>
        </w:rPr>
        <w:t xml:space="preserve">funds provided from the freedom of expression portfolio budget amounted to </w:t>
      </w:r>
      <w:r w:rsidR="00364798" w:rsidRPr="00DB2795">
        <w:rPr>
          <w:sz w:val="20"/>
          <w:szCs w:val="20"/>
        </w:rPr>
        <w:t>$1,718,562</w:t>
      </w:r>
      <w:r w:rsidR="00DC686A" w:rsidRPr="00DB2795">
        <w:rPr>
          <w:sz w:val="20"/>
          <w:szCs w:val="20"/>
        </w:rPr>
        <w:t>. Overall this represented</w:t>
      </w:r>
      <w:r w:rsidR="00486286" w:rsidRPr="00DB2795">
        <w:rPr>
          <w:sz w:val="20"/>
          <w:szCs w:val="20"/>
        </w:rPr>
        <w:t xml:space="preserve"> approximately one-third of </w:t>
      </w:r>
      <w:r w:rsidR="00DC686A" w:rsidRPr="00DB2795">
        <w:rPr>
          <w:sz w:val="20"/>
          <w:szCs w:val="20"/>
        </w:rPr>
        <w:t xml:space="preserve">our total funding </w:t>
      </w:r>
      <w:r w:rsidR="008E76E2" w:rsidRPr="00DB2795">
        <w:rPr>
          <w:sz w:val="20"/>
          <w:szCs w:val="20"/>
        </w:rPr>
        <w:t xml:space="preserve">for the freedom of expression portfolio during this </w:t>
      </w:r>
      <w:r w:rsidR="00654685">
        <w:rPr>
          <w:sz w:val="20"/>
          <w:szCs w:val="20"/>
        </w:rPr>
        <w:t xml:space="preserve">period. </w:t>
      </w:r>
      <w:r w:rsidR="00DC686A" w:rsidRPr="00DB2795">
        <w:rPr>
          <w:sz w:val="20"/>
          <w:szCs w:val="20"/>
        </w:rPr>
        <w:t xml:space="preserve"> </w:t>
      </w:r>
      <w:r w:rsidR="00364798" w:rsidRPr="00DB2795">
        <w:rPr>
          <w:sz w:val="20"/>
          <w:szCs w:val="20"/>
        </w:rPr>
        <w:t xml:space="preserve">Additional contributions from other </w:t>
      </w:r>
      <w:r w:rsidR="00187DDD" w:rsidRPr="00DB2795">
        <w:rPr>
          <w:sz w:val="20"/>
          <w:szCs w:val="20"/>
        </w:rPr>
        <w:t xml:space="preserve">parts of the PIJ and </w:t>
      </w:r>
      <w:r w:rsidR="00364798" w:rsidRPr="00DB2795">
        <w:rPr>
          <w:sz w:val="20"/>
          <w:szCs w:val="20"/>
        </w:rPr>
        <w:t>OSF entities and third-parties brought the total funding for this body of work to $4,847,406</w:t>
      </w:r>
      <w:r w:rsidR="00572FDB">
        <w:rPr>
          <w:sz w:val="20"/>
          <w:szCs w:val="20"/>
        </w:rPr>
        <w:t>,</w:t>
      </w:r>
      <w:r w:rsidR="00044133">
        <w:rPr>
          <w:sz w:val="20"/>
          <w:szCs w:val="20"/>
        </w:rPr>
        <w:t xml:space="preserve"> </w:t>
      </w:r>
      <w:r w:rsidR="00187DDD" w:rsidRPr="00DB2795">
        <w:rPr>
          <w:sz w:val="20"/>
          <w:szCs w:val="20"/>
        </w:rPr>
        <w:t xml:space="preserve">including </w:t>
      </w:r>
      <w:r w:rsidR="00084D6D" w:rsidRPr="00DB2795">
        <w:rPr>
          <w:sz w:val="20"/>
          <w:szCs w:val="20"/>
        </w:rPr>
        <w:t xml:space="preserve">a </w:t>
      </w:r>
      <w:r w:rsidR="00187DDD" w:rsidRPr="00DB2795">
        <w:rPr>
          <w:sz w:val="20"/>
          <w:szCs w:val="20"/>
        </w:rPr>
        <w:t>$2.</w:t>
      </w:r>
      <w:r w:rsidR="007C32EF" w:rsidRPr="00DB2795">
        <w:rPr>
          <w:sz w:val="20"/>
          <w:szCs w:val="20"/>
        </w:rPr>
        <w:t>5</w:t>
      </w:r>
      <w:r w:rsidR="00187DDD" w:rsidRPr="00DB2795">
        <w:rPr>
          <w:sz w:val="20"/>
          <w:szCs w:val="20"/>
        </w:rPr>
        <w:t xml:space="preserve"> million 5-year grant issued to the Media Legal Defence Initiative in 2013.</w:t>
      </w:r>
      <w:r w:rsidRPr="00DB2795">
        <w:rPr>
          <w:sz w:val="20"/>
          <w:szCs w:val="20"/>
        </w:rPr>
        <w:t xml:space="preserve"> </w:t>
      </w:r>
      <w:r w:rsidR="008E76E2" w:rsidRPr="00DB2795">
        <w:rPr>
          <w:sz w:val="20"/>
          <w:szCs w:val="20"/>
        </w:rPr>
        <w:t xml:space="preserve">In </w:t>
      </w:r>
      <w:r w:rsidR="00BE2F64" w:rsidRPr="00DB2795">
        <w:rPr>
          <w:sz w:val="20"/>
          <w:szCs w:val="20"/>
        </w:rPr>
        <w:t xml:space="preserve">the course of preparing this assessment, we ascertained that </w:t>
      </w:r>
      <w:r w:rsidR="00486286" w:rsidRPr="00DB2795">
        <w:rPr>
          <w:sz w:val="20"/>
          <w:szCs w:val="20"/>
        </w:rPr>
        <w:t>at least</w:t>
      </w:r>
      <w:r w:rsidR="008E76E2" w:rsidRPr="00DB2795">
        <w:rPr>
          <w:sz w:val="20"/>
          <w:szCs w:val="20"/>
        </w:rPr>
        <w:t xml:space="preserve"> 50% of the </w:t>
      </w:r>
      <w:r w:rsidR="00486286" w:rsidRPr="00DB2795">
        <w:rPr>
          <w:sz w:val="20"/>
          <w:szCs w:val="20"/>
        </w:rPr>
        <w:t xml:space="preserve">freedom of expression </w:t>
      </w:r>
      <w:r w:rsidR="00BE2F64" w:rsidRPr="00DB2795">
        <w:rPr>
          <w:sz w:val="20"/>
          <w:szCs w:val="20"/>
        </w:rPr>
        <w:t xml:space="preserve">staff time was also spent in direct support of </w:t>
      </w:r>
      <w:r w:rsidR="00486286" w:rsidRPr="00DB2795">
        <w:rPr>
          <w:sz w:val="20"/>
          <w:szCs w:val="20"/>
        </w:rPr>
        <w:t>grant</w:t>
      </w:r>
      <w:r w:rsidR="00044133">
        <w:rPr>
          <w:sz w:val="20"/>
          <w:szCs w:val="20"/>
        </w:rPr>
        <w:t xml:space="preserve"> </w:t>
      </w:r>
      <w:r w:rsidR="00486286" w:rsidRPr="00DB2795">
        <w:rPr>
          <w:sz w:val="20"/>
          <w:szCs w:val="20"/>
        </w:rPr>
        <w:t>making and</w:t>
      </w:r>
      <w:r w:rsidR="007E4E9A" w:rsidRPr="00DB2795">
        <w:rPr>
          <w:sz w:val="20"/>
          <w:szCs w:val="20"/>
        </w:rPr>
        <w:t xml:space="preserve"> </w:t>
      </w:r>
      <w:r w:rsidR="008E76E2" w:rsidRPr="00DB2795">
        <w:rPr>
          <w:sz w:val="20"/>
          <w:szCs w:val="20"/>
        </w:rPr>
        <w:t xml:space="preserve">networking </w:t>
      </w:r>
      <w:r w:rsidR="007E4E9A" w:rsidRPr="00DB2795">
        <w:rPr>
          <w:sz w:val="20"/>
          <w:szCs w:val="20"/>
        </w:rPr>
        <w:t>related to this</w:t>
      </w:r>
      <w:r w:rsidR="00C74BB9" w:rsidRPr="00DB2795">
        <w:rPr>
          <w:sz w:val="20"/>
          <w:szCs w:val="20"/>
        </w:rPr>
        <w:t xml:space="preserve"> body of work</w:t>
      </w:r>
      <w:r w:rsidR="0096428F" w:rsidRPr="00DB2795">
        <w:rPr>
          <w:sz w:val="20"/>
          <w:szCs w:val="20"/>
        </w:rPr>
        <w:t>, in particular due to direct staff engagement on both the safety efforts and standar</w:t>
      </w:r>
      <w:r w:rsidR="00917607" w:rsidRPr="00DB2795">
        <w:rPr>
          <w:sz w:val="20"/>
          <w:szCs w:val="20"/>
        </w:rPr>
        <w:t>d</w:t>
      </w:r>
      <w:r w:rsidR="0096428F" w:rsidRPr="00DB2795">
        <w:rPr>
          <w:sz w:val="20"/>
          <w:szCs w:val="20"/>
        </w:rPr>
        <w:t>-setting efforts</w:t>
      </w:r>
      <w:r w:rsidR="00C74BB9" w:rsidRPr="00DB2795">
        <w:rPr>
          <w:sz w:val="20"/>
          <w:szCs w:val="20"/>
        </w:rPr>
        <w:t>.</w:t>
      </w:r>
    </w:p>
    <w:p w:rsidR="0094311D" w:rsidRPr="00DB2795" w:rsidRDefault="0094311D" w:rsidP="00693DA9">
      <w:pPr>
        <w:spacing w:after="0" w:line="240" w:lineRule="auto"/>
        <w:rPr>
          <w:sz w:val="20"/>
          <w:szCs w:val="20"/>
        </w:rPr>
      </w:pPr>
    </w:p>
    <w:p w:rsidR="00917607" w:rsidRPr="00DB2795" w:rsidRDefault="00486286" w:rsidP="00693DA9">
      <w:pPr>
        <w:spacing w:after="0" w:line="240" w:lineRule="auto"/>
        <w:rPr>
          <w:i/>
          <w:sz w:val="20"/>
          <w:szCs w:val="20"/>
        </w:rPr>
      </w:pPr>
      <w:r w:rsidRPr="00DB2795">
        <w:rPr>
          <w:i/>
          <w:sz w:val="20"/>
          <w:szCs w:val="20"/>
        </w:rPr>
        <w:t>Some initial findings</w:t>
      </w:r>
    </w:p>
    <w:p w:rsidR="00D16BD4" w:rsidRPr="00DB2795" w:rsidRDefault="00D16BD4" w:rsidP="00693DA9">
      <w:pPr>
        <w:spacing w:after="0" w:line="240" w:lineRule="auto"/>
        <w:rPr>
          <w:i/>
          <w:sz w:val="20"/>
          <w:szCs w:val="20"/>
        </w:rPr>
      </w:pPr>
    </w:p>
    <w:p w:rsidR="00D16BD4" w:rsidRPr="00DB2795" w:rsidRDefault="00D16BD4" w:rsidP="00D16BD4">
      <w:pPr>
        <w:spacing w:after="0" w:line="240" w:lineRule="auto"/>
        <w:rPr>
          <w:sz w:val="20"/>
          <w:szCs w:val="20"/>
        </w:rPr>
      </w:pPr>
      <w:r w:rsidRPr="00DB2795">
        <w:rPr>
          <w:sz w:val="20"/>
          <w:szCs w:val="20"/>
        </w:rPr>
        <w:t>In finalizing our assessment we have abandoned our initial title of “building and strengthening legal networks with the goal of improving the enabling environment for journalists and media outlets” as we felt that this was too ambitious a goal, when applied retroactively to our work</w:t>
      </w:r>
      <w:r w:rsidR="00347E2B">
        <w:rPr>
          <w:sz w:val="20"/>
          <w:szCs w:val="20"/>
        </w:rPr>
        <w:t xml:space="preserve">, </w:t>
      </w:r>
      <w:r w:rsidR="00042BB5" w:rsidRPr="00DB2795">
        <w:rPr>
          <w:sz w:val="20"/>
          <w:szCs w:val="20"/>
        </w:rPr>
        <w:t xml:space="preserve">for a </w:t>
      </w:r>
      <w:r w:rsidR="00572FDB">
        <w:rPr>
          <w:sz w:val="20"/>
          <w:szCs w:val="20"/>
        </w:rPr>
        <w:t>number of reasons.</w:t>
      </w:r>
      <w:r w:rsidRPr="00DB2795">
        <w:rPr>
          <w:sz w:val="20"/>
          <w:szCs w:val="20"/>
        </w:rPr>
        <w:t xml:space="preserve"> </w:t>
      </w:r>
    </w:p>
    <w:p w:rsidR="00D16BD4" w:rsidRPr="00DB2795" w:rsidRDefault="00D16BD4" w:rsidP="00693DA9">
      <w:pPr>
        <w:spacing w:after="0" w:line="240" w:lineRule="auto"/>
        <w:rPr>
          <w:i/>
          <w:sz w:val="20"/>
          <w:szCs w:val="20"/>
        </w:rPr>
      </w:pPr>
    </w:p>
    <w:p w:rsidR="008E76E2" w:rsidRPr="00DB2795" w:rsidRDefault="007E4E9A" w:rsidP="008E76E2">
      <w:pPr>
        <w:spacing w:after="0" w:line="240" w:lineRule="auto"/>
        <w:rPr>
          <w:sz w:val="20"/>
          <w:szCs w:val="20"/>
        </w:rPr>
      </w:pPr>
      <w:r w:rsidRPr="00DB2795">
        <w:rPr>
          <w:sz w:val="20"/>
          <w:szCs w:val="20"/>
        </w:rPr>
        <w:t xml:space="preserve">In many respects, </w:t>
      </w:r>
      <w:r w:rsidR="00654685">
        <w:rPr>
          <w:sz w:val="20"/>
          <w:szCs w:val="20"/>
        </w:rPr>
        <w:t xml:space="preserve">staff </w:t>
      </w:r>
      <w:r w:rsidR="00960639">
        <w:rPr>
          <w:sz w:val="20"/>
          <w:szCs w:val="20"/>
        </w:rPr>
        <w:t xml:space="preserve">members of the </w:t>
      </w:r>
      <w:r w:rsidR="00486286" w:rsidRPr="00DB2795">
        <w:rPr>
          <w:sz w:val="20"/>
          <w:szCs w:val="20"/>
        </w:rPr>
        <w:t>freedom of expression portfolio ha</w:t>
      </w:r>
      <w:r w:rsidR="00960639">
        <w:rPr>
          <w:sz w:val="20"/>
          <w:szCs w:val="20"/>
        </w:rPr>
        <w:t>ve</w:t>
      </w:r>
      <w:r w:rsidR="008E76E2" w:rsidRPr="00DB2795">
        <w:rPr>
          <w:sz w:val="20"/>
          <w:szCs w:val="20"/>
        </w:rPr>
        <w:t xml:space="preserve"> played a variety of roles</w:t>
      </w:r>
      <w:r w:rsidR="00960639">
        <w:rPr>
          <w:sz w:val="20"/>
          <w:szCs w:val="20"/>
        </w:rPr>
        <w:t>:</w:t>
      </w:r>
      <w:r w:rsidR="008E76E2" w:rsidRPr="00DB2795">
        <w:rPr>
          <w:sz w:val="20"/>
          <w:szCs w:val="20"/>
        </w:rPr>
        <w:t xml:space="preserve"> as donor, convenor, and even as a partner in developing various initiatives. In our role as convenor, we often brought different stakeholders together with the intent that they would form alliances, develop partnerships and potentially networks around specific initiatives. </w:t>
      </w:r>
      <w:r w:rsidR="00932322" w:rsidRPr="00DB2795">
        <w:rPr>
          <w:sz w:val="20"/>
          <w:szCs w:val="20"/>
        </w:rPr>
        <w:t>Sometimes this was “embedded” in our grants with other partners and in our support for conferences and events.</w:t>
      </w:r>
      <w:r w:rsidR="00654685">
        <w:rPr>
          <w:sz w:val="20"/>
          <w:szCs w:val="20"/>
        </w:rPr>
        <w:t xml:space="preserve"> </w:t>
      </w:r>
      <w:r w:rsidR="00932322" w:rsidRPr="00DB2795">
        <w:rPr>
          <w:sz w:val="20"/>
          <w:szCs w:val="20"/>
        </w:rPr>
        <w:t xml:space="preserve"> In many cases, however, we </w:t>
      </w:r>
      <w:r w:rsidR="008E76E2" w:rsidRPr="00DB2795">
        <w:rPr>
          <w:sz w:val="20"/>
          <w:szCs w:val="20"/>
        </w:rPr>
        <w:t xml:space="preserve">did not state these goals explicitly (even in our strategy) as we wanted partnerships to develop organically and groups to respond to real needs, rather than “donor” interest. </w:t>
      </w:r>
      <w:r w:rsidR="00654685">
        <w:rPr>
          <w:sz w:val="20"/>
          <w:szCs w:val="20"/>
        </w:rPr>
        <w:t>Many of the networking opportunities arose from joint discussions with grantee</w:t>
      </w:r>
      <w:r w:rsidR="00572FDB">
        <w:rPr>
          <w:sz w:val="20"/>
          <w:szCs w:val="20"/>
        </w:rPr>
        <w:t xml:space="preserve">s, which we’ve tried to highlight here as well. We </w:t>
      </w:r>
      <w:r w:rsidR="00347E2B">
        <w:rPr>
          <w:sz w:val="20"/>
          <w:szCs w:val="20"/>
        </w:rPr>
        <w:t xml:space="preserve">may need to think </w:t>
      </w:r>
      <w:r w:rsidR="00572FDB">
        <w:rPr>
          <w:sz w:val="20"/>
          <w:szCs w:val="20"/>
        </w:rPr>
        <w:t>how to better factor</w:t>
      </w:r>
      <w:r w:rsidR="00347E2B">
        <w:rPr>
          <w:sz w:val="20"/>
          <w:szCs w:val="20"/>
        </w:rPr>
        <w:t xml:space="preserve"> into our strategy </w:t>
      </w:r>
      <w:r w:rsidR="00572FDB">
        <w:rPr>
          <w:sz w:val="20"/>
          <w:szCs w:val="20"/>
        </w:rPr>
        <w:t xml:space="preserve">our role in networking going ahead.   </w:t>
      </w:r>
      <w:r w:rsidR="00932322" w:rsidRPr="00DB2795">
        <w:rPr>
          <w:sz w:val="20"/>
          <w:szCs w:val="20"/>
        </w:rPr>
        <w:t xml:space="preserve"> </w:t>
      </w:r>
    </w:p>
    <w:p w:rsidR="008E76E2" w:rsidRPr="00DB2795" w:rsidRDefault="008E76E2" w:rsidP="008E76E2">
      <w:pPr>
        <w:spacing w:after="0" w:line="240" w:lineRule="auto"/>
        <w:rPr>
          <w:sz w:val="20"/>
          <w:szCs w:val="20"/>
        </w:rPr>
      </w:pPr>
    </w:p>
    <w:p w:rsidR="008E76E2" w:rsidRPr="00DB2795" w:rsidRDefault="008E76E2" w:rsidP="008E76E2">
      <w:pPr>
        <w:spacing w:after="0" w:line="240" w:lineRule="auto"/>
        <w:rPr>
          <w:sz w:val="20"/>
          <w:szCs w:val="20"/>
        </w:rPr>
      </w:pPr>
      <w:r w:rsidRPr="00DB2795">
        <w:rPr>
          <w:sz w:val="20"/>
          <w:szCs w:val="20"/>
        </w:rPr>
        <w:t>At the same</w:t>
      </w:r>
      <w:r w:rsidR="00960639">
        <w:rPr>
          <w:sz w:val="20"/>
          <w:szCs w:val="20"/>
        </w:rPr>
        <w:t xml:space="preserve"> time</w:t>
      </w:r>
      <w:r w:rsidRPr="00DB2795">
        <w:rPr>
          <w:sz w:val="20"/>
          <w:szCs w:val="20"/>
        </w:rPr>
        <w:t xml:space="preserve">, </w:t>
      </w:r>
      <w:r w:rsidR="0096428F" w:rsidRPr="00DB2795">
        <w:rPr>
          <w:sz w:val="20"/>
          <w:szCs w:val="20"/>
        </w:rPr>
        <w:t>we did not sufficiently</w:t>
      </w:r>
      <w:r w:rsidRPr="00DB2795">
        <w:rPr>
          <w:sz w:val="20"/>
          <w:szCs w:val="20"/>
        </w:rPr>
        <w:t xml:space="preserve"> define what we thought a successful “network” </w:t>
      </w:r>
      <w:r w:rsidR="00353CE5">
        <w:rPr>
          <w:sz w:val="20"/>
          <w:szCs w:val="20"/>
        </w:rPr>
        <w:t>should do in</w:t>
      </w:r>
      <w:r w:rsidRPr="00DB2795">
        <w:rPr>
          <w:sz w:val="20"/>
          <w:szCs w:val="20"/>
        </w:rPr>
        <w:t xml:space="preserve"> each </w:t>
      </w:r>
      <w:r w:rsidR="007E4E9A" w:rsidRPr="00DB2795">
        <w:rPr>
          <w:sz w:val="20"/>
          <w:szCs w:val="20"/>
        </w:rPr>
        <w:t xml:space="preserve">of </w:t>
      </w:r>
      <w:r w:rsidR="00960639">
        <w:rPr>
          <w:sz w:val="20"/>
          <w:szCs w:val="20"/>
        </w:rPr>
        <w:t xml:space="preserve">the </w:t>
      </w:r>
      <w:r w:rsidR="00347E2B">
        <w:rPr>
          <w:sz w:val="20"/>
          <w:szCs w:val="20"/>
        </w:rPr>
        <w:t>areas of engagement</w:t>
      </w:r>
      <w:r w:rsidR="00353CE5">
        <w:rPr>
          <w:sz w:val="20"/>
          <w:szCs w:val="20"/>
        </w:rPr>
        <w:t xml:space="preserve"> we </w:t>
      </w:r>
      <w:r w:rsidR="001E45A5" w:rsidRPr="00DB2795">
        <w:rPr>
          <w:sz w:val="20"/>
          <w:szCs w:val="20"/>
        </w:rPr>
        <w:t>supported initially</w:t>
      </w:r>
      <w:r w:rsidRPr="00DB2795">
        <w:rPr>
          <w:sz w:val="20"/>
          <w:szCs w:val="20"/>
        </w:rPr>
        <w:t>, i.e., whether this might mean supportin</w:t>
      </w:r>
      <w:r w:rsidR="00347E2B">
        <w:rPr>
          <w:sz w:val="20"/>
          <w:szCs w:val="20"/>
        </w:rPr>
        <w:t>g a multi-stakeholder coalition</w:t>
      </w:r>
      <w:r w:rsidRPr="00DB2795">
        <w:rPr>
          <w:sz w:val="20"/>
          <w:szCs w:val="20"/>
        </w:rPr>
        <w:t xml:space="preserve"> </w:t>
      </w:r>
      <w:r w:rsidR="00332AC0">
        <w:rPr>
          <w:sz w:val="20"/>
          <w:szCs w:val="20"/>
        </w:rPr>
        <w:t xml:space="preserve">to share knowledge, </w:t>
      </w:r>
      <w:r w:rsidR="00353CE5">
        <w:rPr>
          <w:sz w:val="20"/>
          <w:szCs w:val="20"/>
        </w:rPr>
        <w:t>to c</w:t>
      </w:r>
      <w:r w:rsidRPr="00DB2795">
        <w:rPr>
          <w:sz w:val="20"/>
          <w:szCs w:val="20"/>
        </w:rPr>
        <w:t>ampaign for a given period of time around a specific activity</w:t>
      </w:r>
      <w:r w:rsidR="00332AC0">
        <w:rPr>
          <w:sz w:val="20"/>
          <w:szCs w:val="20"/>
        </w:rPr>
        <w:t>,</w:t>
      </w:r>
      <w:r w:rsidR="00353CE5">
        <w:rPr>
          <w:sz w:val="20"/>
          <w:szCs w:val="20"/>
        </w:rPr>
        <w:t xml:space="preserve"> </w:t>
      </w:r>
      <w:r w:rsidRPr="00DB2795">
        <w:rPr>
          <w:sz w:val="20"/>
          <w:szCs w:val="20"/>
        </w:rPr>
        <w:t xml:space="preserve">or </w:t>
      </w:r>
      <w:r w:rsidR="00347E2B">
        <w:rPr>
          <w:sz w:val="20"/>
          <w:szCs w:val="20"/>
        </w:rPr>
        <w:t xml:space="preserve">whether there might be </w:t>
      </w:r>
      <w:r w:rsidR="003F480E">
        <w:rPr>
          <w:sz w:val="20"/>
          <w:szCs w:val="20"/>
        </w:rPr>
        <w:t>a need to establish</w:t>
      </w:r>
      <w:r w:rsidRPr="00DB2795">
        <w:rPr>
          <w:sz w:val="20"/>
          <w:szCs w:val="20"/>
        </w:rPr>
        <w:t xml:space="preserve"> </w:t>
      </w:r>
      <w:r w:rsidR="00332AC0">
        <w:rPr>
          <w:sz w:val="20"/>
          <w:szCs w:val="20"/>
        </w:rPr>
        <w:t>a more</w:t>
      </w:r>
      <w:r w:rsidR="00347E2B">
        <w:rPr>
          <w:sz w:val="20"/>
          <w:szCs w:val="20"/>
        </w:rPr>
        <w:t xml:space="preserve"> </w:t>
      </w:r>
      <w:r w:rsidRPr="00DB2795">
        <w:rPr>
          <w:sz w:val="20"/>
          <w:szCs w:val="20"/>
        </w:rPr>
        <w:t xml:space="preserve">formalized network to address a </w:t>
      </w:r>
      <w:r w:rsidR="003F480E">
        <w:rPr>
          <w:sz w:val="20"/>
          <w:szCs w:val="20"/>
        </w:rPr>
        <w:t xml:space="preserve">longer-term goal. </w:t>
      </w:r>
      <w:r w:rsidR="001E45A5" w:rsidRPr="00DB2795">
        <w:rPr>
          <w:sz w:val="20"/>
          <w:szCs w:val="20"/>
        </w:rPr>
        <w:t xml:space="preserve"> </w:t>
      </w:r>
      <w:r w:rsidR="003F480E">
        <w:rPr>
          <w:sz w:val="20"/>
          <w:szCs w:val="20"/>
        </w:rPr>
        <w:t xml:space="preserve">We have tried to </w:t>
      </w:r>
      <w:r w:rsidR="00371616">
        <w:rPr>
          <w:sz w:val="20"/>
          <w:szCs w:val="20"/>
        </w:rPr>
        <w:t xml:space="preserve">highlight </w:t>
      </w:r>
      <w:r w:rsidR="003F480E">
        <w:rPr>
          <w:sz w:val="20"/>
          <w:szCs w:val="20"/>
        </w:rPr>
        <w:t xml:space="preserve">some of our efforts, nonetheless. At the same time, </w:t>
      </w:r>
      <w:r w:rsidR="00332AC0">
        <w:rPr>
          <w:sz w:val="20"/>
          <w:szCs w:val="20"/>
        </w:rPr>
        <w:t xml:space="preserve">one of </w:t>
      </w:r>
      <w:r w:rsidR="003F480E">
        <w:rPr>
          <w:sz w:val="20"/>
          <w:szCs w:val="20"/>
        </w:rPr>
        <w:t>the most successful networking</w:t>
      </w:r>
      <w:r w:rsidR="00371616">
        <w:rPr>
          <w:sz w:val="20"/>
          <w:szCs w:val="20"/>
        </w:rPr>
        <w:t xml:space="preserve"> efforts</w:t>
      </w:r>
      <w:r w:rsidR="003F480E">
        <w:rPr>
          <w:sz w:val="20"/>
          <w:szCs w:val="20"/>
        </w:rPr>
        <w:t xml:space="preserve"> has evolved around a project on defamation reform in Africa, which almost failed</w:t>
      </w:r>
      <w:r w:rsidR="000D5F03">
        <w:rPr>
          <w:sz w:val="20"/>
          <w:szCs w:val="20"/>
        </w:rPr>
        <w:t>, as noted under our support for Special Rapporteur for Freedom of Expression in Africa.</w:t>
      </w:r>
      <w:r w:rsidR="00332AC0">
        <w:rPr>
          <w:sz w:val="20"/>
          <w:szCs w:val="20"/>
        </w:rPr>
        <w:t xml:space="preserve"> This also provides a good example of “unintended consequences” of our work.</w:t>
      </w:r>
    </w:p>
    <w:p w:rsidR="00042BB5" w:rsidRPr="00DB2795" w:rsidRDefault="00042BB5" w:rsidP="008E76E2">
      <w:pPr>
        <w:spacing w:after="0" w:line="240" w:lineRule="auto"/>
        <w:rPr>
          <w:sz w:val="20"/>
          <w:szCs w:val="20"/>
        </w:rPr>
      </w:pPr>
    </w:p>
    <w:p w:rsidR="00042BB5" w:rsidRPr="00DB2795" w:rsidRDefault="00042BB5" w:rsidP="00042BB5">
      <w:pPr>
        <w:spacing w:after="0" w:line="240" w:lineRule="auto"/>
        <w:rPr>
          <w:sz w:val="20"/>
          <w:szCs w:val="20"/>
        </w:rPr>
      </w:pPr>
      <w:r w:rsidRPr="00DB2795">
        <w:rPr>
          <w:sz w:val="20"/>
          <w:szCs w:val="20"/>
        </w:rPr>
        <w:t xml:space="preserve">Had we been more effective in identifying new partners to engage in </w:t>
      </w:r>
      <w:r w:rsidR="00F17324">
        <w:rPr>
          <w:sz w:val="20"/>
          <w:szCs w:val="20"/>
        </w:rPr>
        <w:t>media law</w:t>
      </w:r>
      <w:r w:rsidRPr="00DB2795">
        <w:rPr>
          <w:sz w:val="20"/>
          <w:szCs w:val="20"/>
        </w:rPr>
        <w:t xml:space="preserve"> efforts, we might have been able to show how our efforts </w:t>
      </w:r>
      <w:r w:rsidR="00960639">
        <w:rPr>
          <w:sz w:val="20"/>
          <w:szCs w:val="20"/>
        </w:rPr>
        <w:t>in this fi</w:t>
      </w:r>
      <w:r w:rsidR="000D5F03">
        <w:rPr>
          <w:sz w:val="20"/>
          <w:szCs w:val="20"/>
        </w:rPr>
        <w:t>e</w:t>
      </w:r>
      <w:r w:rsidR="00960639">
        <w:rPr>
          <w:sz w:val="20"/>
          <w:szCs w:val="20"/>
        </w:rPr>
        <w:t>l</w:t>
      </w:r>
      <w:r w:rsidR="000D5F03">
        <w:rPr>
          <w:sz w:val="20"/>
          <w:szCs w:val="20"/>
        </w:rPr>
        <w:t xml:space="preserve">d </w:t>
      </w:r>
      <w:r w:rsidRPr="00DB2795">
        <w:rPr>
          <w:sz w:val="20"/>
          <w:szCs w:val="20"/>
        </w:rPr>
        <w:t>have improved the enabling environment for journalists</w:t>
      </w:r>
      <w:r w:rsidR="00654685">
        <w:rPr>
          <w:sz w:val="20"/>
          <w:szCs w:val="20"/>
        </w:rPr>
        <w:t xml:space="preserve">. </w:t>
      </w:r>
      <w:r w:rsidR="00F17324">
        <w:rPr>
          <w:sz w:val="20"/>
          <w:szCs w:val="20"/>
        </w:rPr>
        <w:t>Our case study assessing the chan</w:t>
      </w:r>
      <w:r w:rsidR="00347E2B">
        <w:rPr>
          <w:sz w:val="20"/>
          <w:szCs w:val="20"/>
        </w:rPr>
        <w:t xml:space="preserve">ges in Article 19 at that time </w:t>
      </w:r>
      <w:r w:rsidR="00F17324">
        <w:rPr>
          <w:sz w:val="20"/>
          <w:szCs w:val="20"/>
        </w:rPr>
        <w:t>provides some insight into why</w:t>
      </w:r>
      <w:r w:rsidR="00960639">
        <w:rPr>
          <w:sz w:val="20"/>
          <w:szCs w:val="20"/>
        </w:rPr>
        <w:t xml:space="preserve"> we</w:t>
      </w:r>
      <w:r w:rsidR="00F17324">
        <w:rPr>
          <w:sz w:val="20"/>
          <w:szCs w:val="20"/>
        </w:rPr>
        <w:t xml:space="preserve"> stopped working in this area</w:t>
      </w:r>
      <w:r w:rsidR="000D5F03">
        <w:rPr>
          <w:sz w:val="20"/>
          <w:szCs w:val="20"/>
        </w:rPr>
        <w:t xml:space="preserve">, and the challenges we had in trying to identify a new, global partner who could work on media law </w:t>
      </w:r>
      <w:r w:rsidR="00960639">
        <w:rPr>
          <w:sz w:val="20"/>
          <w:szCs w:val="20"/>
        </w:rPr>
        <w:t>reform.</w:t>
      </w:r>
    </w:p>
    <w:p w:rsidR="00042BB5" w:rsidRPr="00DB2795" w:rsidRDefault="00042BB5" w:rsidP="00042BB5">
      <w:pPr>
        <w:spacing w:after="0" w:line="240" w:lineRule="auto"/>
        <w:rPr>
          <w:sz w:val="20"/>
          <w:szCs w:val="20"/>
        </w:rPr>
      </w:pPr>
    </w:p>
    <w:p w:rsidR="00F17324" w:rsidRDefault="00042BB5" w:rsidP="00187DDD">
      <w:pPr>
        <w:spacing w:after="0" w:line="240" w:lineRule="auto"/>
        <w:rPr>
          <w:sz w:val="20"/>
          <w:szCs w:val="20"/>
        </w:rPr>
      </w:pPr>
      <w:r w:rsidRPr="00DB2795">
        <w:rPr>
          <w:sz w:val="20"/>
          <w:szCs w:val="20"/>
        </w:rPr>
        <w:t>Going ahead, it</w:t>
      </w:r>
      <w:r w:rsidR="00016EFC" w:rsidRPr="00DB2795">
        <w:rPr>
          <w:sz w:val="20"/>
          <w:szCs w:val="20"/>
        </w:rPr>
        <w:t xml:space="preserve"> is unlikely that </w:t>
      </w:r>
      <w:r w:rsidR="00960639">
        <w:rPr>
          <w:sz w:val="20"/>
          <w:szCs w:val="20"/>
        </w:rPr>
        <w:t>we</w:t>
      </w:r>
      <w:r w:rsidR="00016EFC" w:rsidRPr="00DB2795">
        <w:rPr>
          <w:sz w:val="20"/>
          <w:szCs w:val="20"/>
        </w:rPr>
        <w:t xml:space="preserve"> will be able to “spread the net” so widely and be as actively engaged</w:t>
      </w:r>
      <w:r w:rsidR="00FA4488" w:rsidRPr="00DB2795">
        <w:rPr>
          <w:sz w:val="20"/>
          <w:szCs w:val="20"/>
        </w:rPr>
        <w:t xml:space="preserve"> in as many efforts directly as we have </w:t>
      </w:r>
      <w:r w:rsidR="00960639">
        <w:rPr>
          <w:sz w:val="20"/>
          <w:szCs w:val="20"/>
        </w:rPr>
        <w:t xml:space="preserve">been </w:t>
      </w:r>
      <w:r w:rsidR="00FA4488" w:rsidRPr="00DB2795">
        <w:rPr>
          <w:sz w:val="20"/>
          <w:szCs w:val="20"/>
        </w:rPr>
        <w:t>in the</w:t>
      </w:r>
      <w:r w:rsidR="00016EFC" w:rsidRPr="00DB2795">
        <w:rPr>
          <w:sz w:val="20"/>
          <w:szCs w:val="20"/>
        </w:rPr>
        <w:t xml:space="preserve"> past</w:t>
      </w:r>
      <w:r w:rsidR="00353CE5">
        <w:rPr>
          <w:sz w:val="20"/>
          <w:szCs w:val="20"/>
        </w:rPr>
        <w:t xml:space="preserve">. </w:t>
      </w:r>
      <w:r w:rsidR="00F17324">
        <w:rPr>
          <w:sz w:val="20"/>
          <w:szCs w:val="20"/>
        </w:rPr>
        <w:t>We should refocus our attention on</w:t>
      </w:r>
      <w:r w:rsidR="00353CE5">
        <w:rPr>
          <w:sz w:val="20"/>
          <w:szCs w:val="20"/>
        </w:rPr>
        <w:t xml:space="preserve"> </w:t>
      </w:r>
      <w:r w:rsidR="005C3CB2" w:rsidRPr="00DB2795">
        <w:rPr>
          <w:sz w:val="20"/>
          <w:szCs w:val="20"/>
        </w:rPr>
        <w:t>“building the field</w:t>
      </w:r>
      <w:r w:rsidR="00A920CE" w:rsidRPr="00DB2795">
        <w:rPr>
          <w:sz w:val="20"/>
          <w:szCs w:val="20"/>
        </w:rPr>
        <w:t>,</w:t>
      </w:r>
      <w:r w:rsidR="00353CE5">
        <w:rPr>
          <w:sz w:val="20"/>
          <w:szCs w:val="20"/>
        </w:rPr>
        <w:t xml:space="preserve">” </w:t>
      </w:r>
      <w:r w:rsidR="00A920CE" w:rsidRPr="00DB2795">
        <w:rPr>
          <w:sz w:val="20"/>
          <w:szCs w:val="20"/>
        </w:rPr>
        <w:t xml:space="preserve">an area we have largely ignored </w:t>
      </w:r>
      <w:r w:rsidR="00960639">
        <w:rPr>
          <w:sz w:val="20"/>
          <w:szCs w:val="20"/>
        </w:rPr>
        <w:t xml:space="preserve">recently </w:t>
      </w:r>
      <w:r w:rsidR="00A920CE" w:rsidRPr="00DB2795">
        <w:rPr>
          <w:sz w:val="20"/>
          <w:szCs w:val="20"/>
        </w:rPr>
        <w:t>in some aspects of this work</w:t>
      </w:r>
      <w:r w:rsidR="00F17324">
        <w:rPr>
          <w:sz w:val="20"/>
          <w:szCs w:val="20"/>
        </w:rPr>
        <w:t xml:space="preserve">. </w:t>
      </w:r>
      <w:r w:rsidR="00293E7E">
        <w:rPr>
          <w:sz w:val="20"/>
          <w:szCs w:val="20"/>
        </w:rPr>
        <w:t>The c</w:t>
      </w:r>
      <w:r w:rsidR="00F17324">
        <w:rPr>
          <w:sz w:val="20"/>
          <w:szCs w:val="20"/>
        </w:rPr>
        <w:t xml:space="preserve">ase study </w:t>
      </w:r>
      <w:r w:rsidR="00293E7E">
        <w:rPr>
          <w:sz w:val="20"/>
          <w:szCs w:val="20"/>
        </w:rPr>
        <w:t>of the</w:t>
      </w:r>
      <w:r w:rsidR="000D5F03">
        <w:rPr>
          <w:sz w:val="20"/>
          <w:szCs w:val="20"/>
        </w:rPr>
        <w:t xml:space="preserve"> PIJ</w:t>
      </w:r>
      <w:r w:rsidR="00293E7E">
        <w:rPr>
          <w:sz w:val="20"/>
          <w:szCs w:val="20"/>
        </w:rPr>
        <w:t xml:space="preserve"> “spin-off”, the </w:t>
      </w:r>
      <w:r w:rsidR="00F17324">
        <w:rPr>
          <w:sz w:val="20"/>
          <w:szCs w:val="20"/>
        </w:rPr>
        <w:t>Media Legal Defence Initiative</w:t>
      </w:r>
      <w:r w:rsidR="00293E7E">
        <w:rPr>
          <w:sz w:val="20"/>
          <w:szCs w:val="20"/>
        </w:rPr>
        <w:t xml:space="preserve">, provides some </w:t>
      </w:r>
      <w:r w:rsidR="000D5F03">
        <w:rPr>
          <w:sz w:val="20"/>
          <w:szCs w:val="20"/>
        </w:rPr>
        <w:t>insight</w:t>
      </w:r>
      <w:r w:rsidR="00293E7E">
        <w:rPr>
          <w:sz w:val="20"/>
          <w:szCs w:val="20"/>
        </w:rPr>
        <w:t xml:space="preserve"> as to how close oversight and a guarantee of longer term fund</w:t>
      </w:r>
      <w:r w:rsidR="00332AC0">
        <w:rPr>
          <w:sz w:val="20"/>
          <w:szCs w:val="20"/>
        </w:rPr>
        <w:t xml:space="preserve">ing can be the most useful tools </w:t>
      </w:r>
      <w:r w:rsidR="00293E7E">
        <w:rPr>
          <w:sz w:val="20"/>
          <w:szCs w:val="20"/>
        </w:rPr>
        <w:t xml:space="preserve">in assuring the longer term sustainability for grantees. </w:t>
      </w:r>
    </w:p>
    <w:p w:rsidR="00F17324" w:rsidRDefault="00F17324" w:rsidP="00187DDD">
      <w:pPr>
        <w:spacing w:after="0" w:line="240" w:lineRule="auto"/>
        <w:rPr>
          <w:sz w:val="20"/>
          <w:szCs w:val="20"/>
        </w:rPr>
      </w:pPr>
    </w:p>
    <w:p w:rsidR="00445809" w:rsidRPr="00DB2795" w:rsidRDefault="005C3CB2" w:rsidP="00187DDD">
      <w:pPr>
        <w:spacing w:after="0" w:line="240" w:lineRule="auto"/>
        <w:rPr>
          <w:sz w:val="20"/>
          <w:szCs w:val="20"/>
        </w:rPr>
      </w:pPr>
      <w:r w:rsidRPr="00DB2795">
        <w:rPr>
          <w:sz w:val="20"/>
          <w:szCs w:val="20"/>
        </w:rPr>
        <w:t xml:space="preserve">We’ve posed some questions at the end of this document to help us guide our thinking on applying some of the lessons </w:t>
      </w:r>
      <w:r w:rsidR="00485AE1">
        <w:rPr>
          <w:sz w:val="20"/>
          <w:szCs w:val="20"/>
        </w:rPr>
        <w:t>we’ve learned to future efforts.</w:t>
      </w:r>
    </w:p>
    <w:p w:rsidR="00445809" w:rsidRPr="00DB2795" w:rsidRDefault="00445809" w:rsidP="00187DDD">
      <w:pPr>
        <w:spacing w:after="0" w:line="240" w:lineRule="auto"/>
        <w:rPr>
          <w:sz w:val="20"/>
          <w:szCs w:val="20"/>
        </w:rPr>
      </w:pPr>
    </w:p>
    <w:p w:rsidR="00956B94" w:rsidRPr="00DB2795" w:rsidRDefault="00D24840" w:rsidP="009A7B7B">
      <w:pPr>
        <w:pStyle w:val="Heading2"/>
        <w:rPr>
          <w:sz w:val="20"/>
          <w:szCs w:val="20"/>
        </w:rPr>
      </w:pPr>
      <w:r w:rsidRPr="00DB2795">
        <w:rPr>
          <w:sz w:val="20"/>
          <w:szCs w:val="20"/>
        </w:rPr>
        <w:t>II</w:t>
      </w:r>
      <w:r w:rsidR="00834687" w:rsidRPr="00DB2795">
        <w:rPr>
          <w:sz w:val="20"/>
          <w:szCs w:val="20"/>
        </w:rPr>
        <w:t xml:space="preserve">. </w:t>
      </w:r>
      <w:r w:rsidR="00956B94" w:rsidRPr="00DB2795">
        <w:rPr>
          <w:sz w:val="20"/>
          <w:szCs w:val="20"/>
        </w:rPr>
        <w:t>Freedom of Expression Strategy</w:t>
      </w:r>
      <w:r w:rsidR="00BC3EAD" w:rsidRPr="00DB2795">
        <w:rPr>
          <w:sz w:val="20"/>
          <w:szCs w:val="20"/>
        </w:rPr>
        <w:t xml:space="preserve">, </w:t>
      </w:r>
      <w:r w:rsidR="00956B94" w:rsidRPr="00DB2795">
        <w:rPr>
          <w:sz w:val="20"/>
          <w:szCs w:val="20"/>
        </w:rPr>
        <w:t>2012-2013</w:t>
      </w:r>
    </w:p>
    <w:p w:rsidR="00741019" w:rsidRPr="00DB2795" w:rsidRDefault="006A630D" w:rsidP="00741019">
      <w:pPr>
        <w:rPr>
          <w:sz w:val="20"/>
          <w:szCs w:val="20"/>
        </w:rPr>
      </w:pPr>
      <w:r w:rsidRPr="00DB2795">
        <w:rPr>
          <w:sz w:val="20"/>
          <w:szCs w:val="20"/>
        </w:rPr>
        <w:br/>
      </w:r>
      <w:r w:rsidR="003442DF">
        <w:rPr>
          <w:sz w:val="20"/>
          <w:szCs w:val="20"/>
        </w:rPr>
        <w:t xml:space="preserve">In the past the Program’s </w:t>
      </w:r>
      <w:r w:rsidRPr="00DB2795">
        <w:rPr>
          <w:sz w:val="20"/>
          <w:szCs w:val="20"/>
        </w:rPr>
        <w:t xml:space="preserve">strategies </w:t>
      </w:r>
      <w:r w:rsidR="003B4FF5" w:rsidRPr="00DB2795">
        <w:rPr>
          <w:sz w:val="20"/>
          <w:szCs w:val="20"/>
        </w:rPr>
        <w:t>provided broad/</w:t>
      </w:r>
      <w:r w:rsidR="00006014" w:rsidRPr="00DB2795">
        <w:rPr>
          <w:sz w:val="20"/>
          <w:szCs w:val="20"/>
        </w:rPr>
        <w:t xml:space="preserve">high-level direction, but </w:t>
      </w:r>
      <w:r w:rsidR="003B4FF5" w:rsidRPr="00DB2795">
        <w:rPr>
          <w:sz w:val="20"/>
          <w:szCs w:val="20"/>
        </w:rPr>
        <w:t>left</w:t>
      </w:r>
      <w:r w:rsidR="00006014" w:rsidRPr="00DB2795">
        <w:rPr>
          <w:sz w:val="20"/>
          <w:szCs w:val="20"/>
        </w:rPr>
        <w:t xml:space="preserve"> considerable latitude for </w:t>
      </w:r>
      <w:r w:rsidR="00824A51" w:rsidRPr="00DB2795">
        <w:rPr>
          <w:sz w:val="20"/>
          <w:szCs w:val="20"/>
        </w:rPr>
        <w:t>flexibility and responsiveness at t</w:t>
      </w:r>
      <w:r w:rsidR="00741019" w:rsidRPr="00DB2795">
        <w:rPr>
          <w:sz w:val="20"/>
          <w:szCs w:val="20"/>
        </w:rPr>
        <w:t>he sub-strategy level. In the Fo</w:t>
      </w:r>
      <w:r w:rsidR="00824A51" w:rsidRPr="00DB2795">
        <w:rPr>
          <w:sz w:val="20"/>
          <w:szCs w:val="20"/>
        </w:rPr>
        <w:t>E portfolio strategy during this period, o</w:t>
      </w:r>
      <w:r w:rsidRPr="00DB2795">
        <w:rPr>
          <w:sz w:val="20"/>
          <w:szCs w:val="20"/>
        </w:rPr>
        <w:t xml:space="preserve">ur decision-making about what areas to support in this domain </w:t>
      </w:r>
      <w:r w:rsidR="00FE519F" w:rsidRPr="00DB2795">
        <w:rPr>
          <w:sz w:val="20"/>
          <w:szCs w:val="20"/>
        </w:rPr>
        <w:t>represent</w:t>
      </w:r>
      <w:r w:rsidR="003F1653" w:rsidRPr="00DB2795">
        <w:rPr>
          <w:sz w:val="20"/>
          <w:szCs w:val="20"/>
        </w:rPr>
        <w:t>ed</w:t>
      </w:r>
      <w:r w:rsidR="00FE519F" w:rsidRPr="00DB2795">
        <w:rPr>
          <w:sz w:val="20"/>
          <w:szCs w:val="20"/>
        </w:rPr>
        <w:t xml:space="preserve"> an inflection point in our thinking. </w:t>
      </w:r>
    </w:p>
    <w:p w:rsidR="00741019" w:rsidRPr="00DB2795" w:rsidRDefault="008E76E2" w:rsidP="00741019">
      <w:pPr>
        <w:rPr>
          <w:sz w:val="20"/>
          <w:szCs w:val="20"/>
        </w:rPr>
      </w:pPr>
      <w:r w:rsidRPr="00DB2795">
        <w:rPr>
          <w:sz w:val="20"/>
          <w:szCs w:val="20"/>
        </w:rPr>
        <w:t>Support for litigation and capacity-building for lawyers ha</w:t>
      </w:r>
      <w:r w:rsidR="003442DF">
        <w:rPr>
          <w:sz w:val="20"/>
          <w:szCs w:val="20"/>
        </w:rPr>
        <w:t xml:space="preserve">d </w:t>
      </w:r>
      <w:r w:rsidR="00347E2B">
        <w:rPr>
          <w:sz w:val="20"/>
          <w:szCs w:val="20"/>
        </w:rPr>
        <w:t>been</w:t>
      </w:r>
      <w:r w:rsidRPr="00DB2795">
        <w:rPr>
          <w:sz w:val="20"/>
          <w:szCs w:val="20"/>
        </w:rPr>
        <w:t xml:space="preserve"> successfully handed over to the Media Legal Defence Initiative. </w:t>
      </w:r>
      <w:r w:rsidR="003442DF">
        <w:rPr>
          <w:sz w:val="20"/>
          <w:szCs w:val="20"/>
        </w:rPr>
        <w:t xml:space="preserve">We were also at a crossroads in winding down much of our support to organizations </w:t>
      </w:r>
      <w:r w:rsidRPr="00DB2795">
        <w:rPr>
          <w:sz w:val="20"/>
          <w:szCs w:val="20"/>
        </w:rPr>
        <w:t xml:space="preserve">engaged in </w:t>
      </w:r>
      <w:r w:rsidR="00DA5048">
        <w:rPr>
          <w:sz w:val="20"/>
          <w:szCs w:val="20"/>
        </w:rPr>
        <w:t>monitoring and reporting on</w:t>
      </w:r>
      <w:r w:rsidR="00275714" w:rsidRPr="00DB2795">
        <w:rPr>
          <w:sz w:val="20"/>
          <w:szCs w:val="20"/>
        </w:rPr>
        <w:t xml:space="preserve"> freedom of expressions violations</w:t>
      </w:r>
      <w:r w:rsidRPr="00DB2795">
        <w:rPr>
          <w:sz w:val="20"/>
          <w:szCs w:val="20"/>
        </w:rPr>
        <w:t>,</w:t>
      </w:r>
      <w:r w:rsidR="00741019" w:rsidRPr="00DB2795">
        <w:rPr>
          <w:sz w:val="20"/>
          <w:szCs w:val="20"/>
        </w:rPr>
        <w:t xml:space="preserve"> </w:t>
      </w:r>
      <w:r w:rsidR="003442DF">
        <w:rPr>
          <w:sz w:val="20"/>
          <w:szCs w:val="20"/>
        </w:rPr>
        <w:t xml:space="preserve">as we found much of the work ineffective. </w:t>
      </w:r>
      <w:r w:rsidR="00741019" w:rsidRPr="00DB2795">
        <w:rPr>
          <w:sz w:val="20"/>
          <w:szCs w:val="20"/>
        </w:rPr>
        <w:t xml:space="preserve">We </w:t>
      </w:r>
      <w:r w:rsidR="003442DF">
        <w:rPr>
          <w:sz w:val="20"/>
          <w:szCs w:val="20"/>
        </w:rPr>
        <w:t xml:space="preserve">also felt that </w:t>
      </w:r>
      <w:r w:rsidR="00741019" w:rsidRPr="00DB2795">
        <w:rPr>
          <w:sz w:val="20"/>
          <w:szCs w:val="20"/>
        </w:rPr>
        <w:t xml:space="preserve">a number of our </w:t>
      </w:r>
      <w:r w:rsidR="003442DF">
        <w:rPr>
          <w:sz w:val="20"/>
          <w:szCs w:val="20"/>
        </w:rPr>
        <w:t xml:space="preserve">grantees </w:t>
      </w:r>
      <w:r w:rsidR="00741019" w:rsidRPr="00DB2795">
        <w:rPr>
          <w:sz w:val="20"/>
          <w:szCs w:val="20"/>
        </w:rPr>
        <w:t xml:space="preserve">working on media law reform, despite years of engagement, had either not made sufficient headway </w:t>
      </w:r>
      <w:r w:rsidR="003442DF">
        <w:rPr>
          <w:sz w:val="20"/>
          <w:szCs w:val="20"/>
        </w:rPr>
        <w:t xml:space="preserve">in or had changed their remit </w:t>
      </w:r>
      <w:r w:rsidR="00741019" w:rsidRPr="00DB2795">
        <w:rPr>
          <w:sz w:val="20"/>
          <w:szCs w:val="20"/>
        </w:rPr>
        <w:t xml:space="preserve"> (as in the case of Article 19</w:t>
      </w:r>
      <w:r w:rsidR="00347E2B">
        <w:rPr>
          <w:sz w:val="20"/>
          <w:szCs w:val="20"/>
        </w:rPr>
        <w:t>,</w:t>
      </w:r>
      <w:r w:rsidR="00741019" w:rsidRPr="00DB2795">
        <w:rPr>
          <w:sz w:val="20"/>
          <w:szCs w:val="20"/>
        </w:rPr>
        <w:t xml:space="preserve"> described below). </w:t>
      </w:r>
      <w:r w:rsidRPr="00DB2795">
        <w:rPr>
          <w:sz w:val="20"/>
          <w:szCs w:val="20"/>
        </w:rPr>
        <w:t xml:space="preserve"> We began, therefore, to re-examine our “theory of change”</w:t>
      </w:r>
      <w:r w:rsidR="00741019" w:rsidRPr="00DB2795">
        <w:rPr>
          <w:sz w:val="20"/>
          <w:szCs w:val="20"/>
        </w:rPr>
        <w:t xml:space="preserve"> </w:t>
      </w:r>
      <w:r w:rsidRPr="00DB2795">
        <w:rPr>
          <w:sz w:val="20"/>
          <w:szCs w:val="20"/>
        </w:rPr>
        <w:t>and thought that working more c</w:t>
      </w:r>
      <w:r w:rsidR="00741019" w:rsidRPr="00DB2795">
        <w:rPr>
          <w:sz w:val="20"/>
          <w:szCs w:val="20"/>
        </w:rPr>
        <w:t>losely with Inter-governmental o</w:t>
      </w:r>
      <w:r w:rsidRPr="00DB2795">
        <w:rPr>
          <w:sz w:val="20"/>
          <w:szCs w:val="20"/>
        </w:rPr>
        <w:t xml:space="preserve">rganizations </w:t>
      </w:r>
      <w:r w:rsidR="00347E2B">
        <w:rPr>
          <w:sz w:val="20"/>
          <w:szCs w:val="20"/>
        </w:rPr>
        <w:t xml:space="preserve">(i.e., Special Rapporteurs) </w:t>
      </w:r>
      <w:r w:rsidR="003442DF">
        <w:rPr>
          <w:sz w:val="20"/>
          <w:szCs w:val="20"/>
        </w:rPr>
        <w:t xml:space="preserve">and </w:t>
      </w:r>
      <w:r w:rsidRPr="00DB2795">
        <w:rPr>
          <w:sz w:val="20"/>
          <w:szCs w:val="20"/>
        </w:rPr>
        <w:t>civil society</w:t>
      </w:r>
      <w:r w:rsidR="00DA5048">
        <w:rPr>
          <w:sz w:val="20"/>
          <w:szCs w:val="20"/>
        </w:rPr>
        <w:t xml:space="preserve"> jointly</w:t>
      </w:r>
      <w:r w:rsidRPr="00DB2795">
        <w:rPr>
          <w:sz w:val="20"/>
          <w:szCs w:val="20"/>
        </w:rPr>
        <w:t xml:space="preserve"> mig</w:t>
      </w:r>
      <w:r w:rsidR="00741019" w:rsidRPr="00DB2795">
        <w:rPr>
          <w:sz w:val="20"/>
          <w:szCs w:val="20"/>
        </w:rPr>
        <w:t>h</w:t>
      </w:r>
      <w:r w:rsidRPr="00DB2795">
        <w:rPr>
          <w:sz w:val="20"/>
          <w:szCs w:val="20"/>
        </w:rPr>
        <w:t>t have more impact in regards to standard-setting and subsequent media law reform efforts</w:t>
      </w:r>
      <w:r w:rsidR="00371616">
        <w:rPr>
          <w:sz w:val="20"/>
          <w:szCs w:val="20"/>
        </w:rPr>
        <w:t xml:space="preserve"> than supporting civil society engagement alone</w:t>
      </w:r>
      <w:r w:rsidRPr="00DB2795">
        <w:rPr>
          <w:sz w:val="20"/>
          <w:szCs w:val="20"/>
        </w:rPr>
        <w:t xml:space="preserve">.  </w:t>
      </w:r>
    </w:p>
    <w:p w:rsidR="005D37BE" w:rsidRPr="00DB2795" w:rsidRDefault="00472893" w:rsidP="006467DF">
      <w:pPr>
        <w:rPr>
          <w:sz w:val="20"/>
          <w:szCs w:val="20"/>
        </w:rPr>
      </w:pPr>
      <w:r w:rsidRPr="00DB2795">
        <w:rPr>
          <w:sz w:val="20"/>
          <w:szCs w:val="20"/>
        </w:rPr>
        <w:t>T</w:t>
      </w:r>
      <w:r w:rsidR="00E028C3" w:rsidRPr="00DB2795">
        <w:rPr>
          <w:sz w:val="20"/>
          <w:szCs w:val="20"/>
        </w:rPr>
        <w:t xml:space="preserve">he strategies referenced in </w:t>
      </w:r>
      <w:r w:rsidR="00371616">
        <w:rPr>
          <w:sz w:val="20"/>
          <w:szCs w:val="20"/>
        </w:rPr>
        <w:t xml:space="preserve">regard to </w:t>
      </w:r>
      <w:r w:rsidR="00DA5048">
        <w:rPr>
          <w:sz w:val="20"/>
          <w:szCs w:val="20"/>
        </w:rPr>
        <w:t xml:space="preserve">our grants during this period </w:t>
      </w:r>
      <w:r w:rsidR="00E028C3" w:rsidRPr="00DB2795">
        <w:rPr>
          <w:sz w:val="20"/>
          <w:szCs w:val="20"/>
        </w:rPr>
        <w:t>include the 2012-2013 two-year strategy and the strategy update from 2013.</w:t>
      </w:r>
      <w:r w:rsidR="00C37D00" w:rsidRPr="00DB2795">
        <w:rPr>
          <w:sz w:val="20"/>
          <w:szCs w:val="20"/>
        </w:rPr>
        <w:t xml:space="preserve"> </w:t>
      </w:r>
      <w:r w:rsidR="007225C9" w:rsidRPr="00DB2795">
        <w:rPr>
          <w:sz w:val="20"/>
          <w:szCs w:val="20"/>
        </w:rPr>
        <w:t>Both of these</w:t>
      </w:r>
      <w:r w:rsidR="00DA5048">
        <w:rPr>
          <w:sz w:val="20"/>
          <w:szCs w:val="20"/>
        </w:rPr>
        <w:t xml:space="preserve"> documents </w:t>
      </w:r>
      <w:r w:rsidR="007225C9" w:rsidRPr="00DB2795">
        <w:rPr>
          <w:sz w:val="20"/>
          <w:szCs w:val="20"/>
        </w:rPr>
        <w:t>highlight the</w:t>
      </w:r>
      <w:r w:rsidR="00927583" w:rsidRPr="00DB2795">
        <w:rPr>
          <w:sz w:val="20"/>
          <w:szCs w:val="20"/>
        </w:rPr>
        <w:t xml:space="preserve"> Program’s</w:t>
      </w:r>
      <w:r w:rsidRPr="00DB2795">
        <w:rPr>
          <w:sz w:val="20"/>
          <w:szCs w:val="20"/>
        </w:rPr>
        <w:t xml:space="preserve"> </w:t>
      </w:r>
      <w:r w:rsidR="00955E1A" w:rsidRPr="00DB2795">
        <w:rPr>
          <w:sz w:val="20"/>
          <w:szCs w:val="20"/>
        </w:rPr>
        <w:t xml:space="preserve">engagement </w:t>
      </w:r>
      <w:r w:rsidR="007225C9" w:rsidRPr="00DB2795">
        <w:rPr>
          <w:sz w:val="20"/>
          <w:szCs w:val="20"/>
        </w:rPr>
        <w:t xml:space="preserve">on standard-setting </w:t>
      </w:r>
      <w:r w:rsidR="00955E1A" w:rsidRPr="00DB2795">
        <w:rPr>
          <w:sz w:val="20"/>
          <w:szCs w:val="20"/>
        </w:rPr>
        <w:t xml:space="preserve">with </w:t>
      </w:r>
      <w:r w:rsidR="00D26A61" w:rsidRPr="00DB2795">
        <w:rPr>
          <w:sz w:val="20"/>
          <w:szCs w:val="20"/>
        </w:rPr>
        <w:t>three</w:t>
      </w:r>
      <w:r w:rsidR="00A15A30" w:rsidRPr="00DB2795">
        <w:rPr>
          <w:sz w:val="20"/>
          <w:szCs w:val="20"/>
        </w:rPr>
        <w:t xml:space="preserve"> (of the four)</w:t>
      </w:r>
      <w:r w:rsidR="009B7EEB" w:rsidRPr="00DB2795">
        <w:rPr>
          <w:sz w:val="20"/>
          <w:szCs w:val="20"/>
        </w:rPr>
        <w:t xml:space="preserve"> </w:t>
      </w:r>
      <w:r w:rsidR="001F6E95" w:rsidRPr="00DB2795">
        <w:rPr>
          <w:sz w:val="20"/>
          <w:szCs w:val="20"/>
        </w:rPr>
        <w:t>Special Rapporteurs</w:t>
      </w:r>
      <w:r w:rsidR="00927583" w:rsidRPr="00DB2795">
        <w:rPr>
          <w:sz w:val="20"/>
          <w:szCs w:val="20"/>
        </w:rPr>
        <w:t xml:space="preserve"> </w:t>
      </w:r>
      <w:r w:rsidR="009B7EEB" w:rsidRPr="00DB2795">
        <w:rPr>
          <w:sz w:val="20"/>
          <w:szCs w:val="20"/>
        </w:rPr>
        <w:t xml:space="preserve">on </w:t>
      </w:r>
      <w:r w:rsidR="00927583" w:rsidRPr="00DB2795">
        <w:rPr>
          <w:sz w:val="20"/>
          <w:szCs w:val="20"/>
        </w:rPr>
        <w:t>freedom of expression</w:t>
      </w:r>
      <w:r w:rsidR="001F6E95" w:rsidRPr="00DB2795">
        <w:rPr>
          <w:sz w:val="20"/>
          <w:szCs w:val="20"/>
        </w:rPr>
        <w:t xml:space="preserve"> </w:t>
      </w:r>
      <w:r w:rsidR="00D26A61" w:rsidRPr="00DB2795">
        <w:rPr>
          <w:sz w:val="20"/>
          <w:szCs w:val="20"/>
        </w:rPr>
        <w:t xml:space="preserve">(at the United Nations, in Latin America and </w:t>
      </w:r>
      <w:r w:rsidR="009B7EEB" w:rsidRPr="00DB2795">
        <w:rPr>
          <w:sz w:val="20"/>
          <w:szCs w:val="20"/>
        </w:rPr>
        <w:t xml:space="preserve">in </w:t>
      </w:r>
      <w:r w:rsidR="00D26A61" w:rsidRPr="00DB2795">
        <w:rPr>
          <w:sz w:val="20"/>
          <w:szCs w:val="20"/>
        </w:rPr>
        <w:t>Africa)</w:t>
      </w:r>
      <w:r w:rsidR="00D95139" w:rsidRPr="00DB2795">
        <w:rPr>
          <w:sz w:val="20"/>
          <w:szCs w:val="20"/>
        </w:rPr>
        <w:t xml:space="preserve"> as well as </w:t>
      </w:r>
      <w:r w:rsidR="00EC05A9" w:rsidRPr="00DB2795">
        <w:rPr>
          <w:sz w:val="20"/>
          <w:szCs w:val="20"/>
        </w:rPr>
        <w:t>support</w:t>
      </w:r>
      <w:r w:rsidR="007225C9" w:rsidRPr="00DB2795">
        <w:rPr>
          <w:sz w:val="20"/>
          <w:szCs w:val="20"/>
        </w:rPr>
        <w:t xml:space="preserve"> for litigation provided by </w:t>
      </w:r>
      <w:r w:rsidR="00EC05A9" w:rsidRPr="00DB2795">
        <w:rPr>
          <w:sz w:val="20"/>
          <w:szCs w:val="20"/>
        </w:rPr>
        <w:t xml:space="preserve">the </w:t>
      </w:r>
      <w:r w:rsidR="009B7EEB" w:rsidRPr="00DB2795">
        <w:rPr>
          <w:sz w:val="20"/>
          <w:szCs w:val="20"/>
        </w:rPr>
        <w:t>MLDI</w:t>
      </w:r>
      <w:r w:rsidR="00A15A30" w:rsidRPr="00DB2795">
        <w:rPr>
          <w:sz w:val="20"/>
          <w:szCs w:val="20"/>
        </w:rPr>
        <w:t xml:space="preserve"> as the two main areas of intervention during this-two year</w:t>
      </w:r>
      <w:r w:rsidR="00347E2B">
        <w:rPr>
          <w:sz w:val="20"/>
          <w:szCs w:val="20"/>
        </w:rPr>
        <w:t xml:space="preserve"> period</w:t>
      </w:r>
      <w:r w:rsidR="00F42D58" w:rsidRPr="00DB2795">
        <w:rPr>
          <w:sz w:val="20"/>
          <w:szCs w:val="20"/>
        </w:rPr>
        <w:t xml:space="preserve">. </w:t>
      </w:r>
      <w:r w:rsidR="009B7EEB" w:rsidRPr="00DB2795">
        <w:rPr>
          <w:sz w:val="20"/>
          <w:szCs w:val="20"/>
        </w:rPr>
        <w:t xml:space="preserve">It should be noted, however, that the initial 2012-2013 strategies contained </w:t>
      </w:r>
      <w:r w:rsidR="007225C9" w:rsidRPr="00DB2795">
        <w:rPr>
          <w:sz w:val="20"/>
          <w:szCs w:val="20"/>
        </w:rPr>
        <w:t>almost</w:t>
      </w:r>
      <w:r w:rsidR="00927583" w:rsidRPr="00DB2795">
        <w:rPr>
          <w:sz w:val="20"/>
          <w:szCs w:val="20"/>
        </w:rPr>
        <w:t xml:space="preserve"> no references to media law reform</w:t>
      </w:r>
      <w:r w:rsidR="00347E2B">
        <w:rPr>
          <w:sz w:val="20"/>
          <w:szCs w:val="20"/>
        </w:rPr>
        <w:t>,</w:t>
      </w:r>
      <w:r w:rsidR="00F42D58" w:rsidRPr="00DB2795">
        <w:rPr>
          <w:sz w:val="20"/>
          <w:szCs w:val="20"/>
        </w:rPr>
        <w:t xml:space="preserve"> given the </w:t>
      </w:r>
      <w:r w:rsidR="0096428F" w:rsidRPr="00DB2795">
        <w:rPr>
          <w:sz w:val="20"/>
          <w:szCs w:val="20"/>
        </w:rPr>
        <w:t>concerns</w:t>
      </w:r>
      <w:r w:rsidR="00F42D58" w:rsidRPr="00DB2795">
        <w:rPr>
          <w:sz w:val="20"/>
          <w:szCs w:val="20"/>
        </w:rPr>
        <w:t xml:space="preserve"> noted above. </w:t>
      </w:r>
      <w:r w:rsidR="00985E4E" w:rsidRPr="00DB2795">
        <w:rPr>
          <w:sz w:val="20"/>
          <w:szCs w:val="20"/>
        </w:rPr>
        <w:t xml:space="preserve"> </w:t>
      </w:r>
      <w:r w:rsidR="00EF1E95">
        <w:rPr>
          <w:sz w:val="20"/>
          <w:szCs w:val="20"/>
        </w:rPr>
        <w:t xml:space="preserve">We also did not </w:t>
      </w:r>
      <w:proofErr w:type="spellStart"/>
      <w:r w:rsidR="00EF1E95">
        <w:rPr>
          <w:sz w:val="20"/>
          <w:szCs w:val="20"/>
        </w:rPr>
        <w:t>include</w:t>
      </w:r>
      <w:r w:rsidR="00347E2B">
        <w:rPr>
          <w:sz w:val="20"/>
          <w:szCs w:val="20"/>
        </w:rPr>
        <w:t>specific</w:t>
      </w:r>
      <w:proofErr w:type="spellEnd"/>
      <w:r w:rsidR="00347E2B">
        <w:rPr>
          <w:sz w:val="20"/>
          <w:szCs w:val="20"/>
        </w:rPr>
        <w:t xml:space="preserve"> references made to “indicators” of success</w:t>
      </w:r>
      <w:r w:rsidR="00EF1E95">
        <w:rPr>
          <w:sz w:val="20"/>
          <w:szCs w:val="20"/>
        </w:rPr>
        <w:t xml:space="preserve"> </w:t>
      </w:r>
      <w:r w:rsidR="00DA5048">
        <w:rPr>
          <w:sz w:val="20"/>
          <w:szCs w:val="20"/>
        </w:rPr>
        <w:t>in any of the fields</w:t>
      </w:r>
      <w:r w:rsidR="00EF1E95">
        <w:rPr>
          <w:sz w:val="20"/>
          <w:szCs w:val="20"/>
        </w:rPr>
        <w:t xml:space="preserve"> at that time</w:t>
      </w:r>
      <w:r w:rsidR="00DA5048">
        <w:rPr>
          <w:sz w:val="20"/>
          <w:szCs w:val="20"/>
        </w:rPr>
        <w:t>.</w:t>
      </w:r>
    </w:p>
    <w:p w:rsidR="003442DF" w:rsidRPr="00DB2795" w:rsidRDefault="003442DF" w:rsidP="003442DF">
      <w:pPr>
        <w:rPr>
          <w:sz w:val="20"/>
          <w:szCs w:val="20"/>
        </w:rPr>
      </w:pPr>
      <w:r w:rsidRPr="00DB2795">
        <w:rPr>
          <w:sz w:val="20"/>
          <w:szCs w:val="20"/>
        </w:rPr>
        <w:t>The tools we employed were, in order of magnitude, grant-making, including support for litigation</w:t>
      </w:r>
      <w:r w:rsidR="00DA5048">
        <w:rPr>
          <w:sz w:val="20"/>
          <w:szCs w:val="20"/>
        </w:rPr>
        <w:t>,</w:t>
      </w:r>
      <w:r w:rsidRPr="00DB2795">
        <w:rPr>
          <w:sz w:val="20"/>
          <w:szCs w:val="20"/>
        </w:rPr>
        <w:t xml:space="preserve"> and capacity-building and technical assistance.</w:t>
      </w:r>
    </w:p>
    <w:p w:rsidR="006F305B" w:rsidRPr="00DB2795" w:rsidRDefault="006F305B" w:rsidP="006467DF">
      <w:pPr>
        <w:rPr>
          <w:sz w:val="20"/>
          <w:szCs w:val="20"/>
        </w:rPr>
      </w:pPr>
      <w:r w:rsidRPr="00DB2795">
        <w:rPr>
          <w:sz w:val="20"/>
          <w:szCs w:val="20"/>
        </w:rPr>
        <w:t>The PIJ has c</w:t>
      </w:r>
      <w:r w:rsidR="00DA5048">
        <w:rPr>
          <w:sz w:val="20"/>
          <w:szCs w:val="20"/>
        </w:rPr>
        <w:t xml:space="preserve">ollaborated most closely </w:t>
      </w:r>
      <w:r w:rsidR="00FA4488" w:rsidRPr="00DB2795">
        <w:rPr>
          <w:sz w:val="20"/>
          <w:szCs w:val="20"/>
        </w:rPr>
        <w:t>with the</w:t>
      </w:r>
      <w:r w:rsidRPr="00DB2795">
        <w:rPr>
          <w:sz w:val="20"/>
          <w:szCs w:val="20"/>
        </w:rPr>
        <w:t xml:space="preserve"> Information Program and OSJI</w:t>
      </w:r>
      <w:r w:rsidR="008E76E2" w:rsidRPr="00DB2795">
        <w:rPr>
          <w:sz w:val="20"/>
          <w:szCs w:val="20"/>
        </w:rPr>
        <w:t>,</w:t>
      </w:r>
      <w:r w:rsidRPr="00DB2795">
        <w:rPr>
          <w:sz w:val="20"/>
          <w:szCs w:val="20"/>
        </w:rPr>
        <w:t xml:space="preserve"> </w:t>
      </w:r>
      <w:r w:rsidR="008E76E2" w:rsidRPr="00DB2795">
        <w:rPr>
          <w:sz w:val="20"/>
          <w:szCs w:val="20"/>
        </w:rPr>
        <w:t xml:space="preserve">as well as with the Southeast Asia Initiative, </w:t>
      </w:r>
      <w:r w:rsidRPr="00DB2795">
        <w:rPr>
          <w:sz w:val="20"/>
          <w:szCs w:val="20"/>
        </w:rPr>
        <w:t xml:space="preserve">in supporting </w:t>
      </w:r>
      <w:r w:rsidR="00856752" w:rsidRPr="00DB2795">
        <w:rPr>
          <w:sz w:val="20"/>
          <w:szCs w:val="20"/>
        </w:rPr>
        <w:t>legal reform efforts</w:t>
      </w:r>
      <w:r w:rsidR="00FA4488" w:rsidRPr="00DB2795">
        <w:rPr>
          <w:sz w:val="20"/>
          <w:szCs w:val="20"/>
        </w:rPr>
        <w:t xml:space="preserve"> and support for </w:t>
      </w:r>
      <w:r w:rsidR="00C62E73" w:rsidRPr="00DB2795">
        <w:rPr>
          <w:sz w:val="20"/>
          <w:szCs w:val="20"/>
        </w:rPr>
        <w:t xml:space="preserve">digital </w:t>
      </w:r>
      <w:r w:rsidR="002937AA" w:rsidRPr="00DB2795">
        <w:rPr>
          <w:sz w:val="20"/>
          <w:szCs w:val="20"/>
        </w:rPr>
        <w:t>rights</w:t>
      </w:r>
      <w:r w:rsidR="005D37BE" w:rsidRPr="00DB2795">
        <w:rPr>
          <w:sz w:val="20"/>
          <w:szCs w:val="20"/>
        </w:rPr>
        <w:t xml:space="preserve"> </w:t>
      </w:r>
      <w:r w:rsidR="002937AA" w:rsidRPr="00DB2795">
        <w:rPr>
          <w:sz w:val="20"/>
          <w:szCs w:val="20"/>
        </w:rPr>
        <w:t xml:space="preserve">and </w:t>
      </w:r>
      <w:r w:rsidR="00FA4488" w:rsidRPr="00DB2795">
        <w:rPr>
          <w:sz w:val="20"/>
          <w:szCs w:val="20"/>
        </w:rPr>
        <w:t>the</w:t>
      </w:r>
      <w:r w:rsidR="002937AA" w:rsidRPr="00DB2795">
        <w:rPr>
          <w:sz w:val="20"/>
          <w:szCs w:val="20"/>
        </w:rPr>
        <w:t xml:space="preserve"> Special Rapporteurs</w:t>
      </w:r>
      <w:r w:rsidR="008E76E2" w:rsidRPr="00DB2795">
        <w:rPr>
          <w:sz w:val="20"/>
          <w:szCs w:val="20"/>
        </w:rPr>
        <w:t>. Work on safety has also been complemented by support from the Latin American Program.</w:t>
      </w:r>
      <w:r w:rsidR="00F42D58" w:rsidRPr="00DB2795">
        <w:rPr>
          <w:sz w:val="20"/>
          <w:szCs w:val="20"/>
        </w:rPr>
        <w:t xml:space="preserve"> </w:t>
      </w:r>
      <w:r w:rsidR="00FA4488" w:rsidRPr="00DB2795">
        <w:rPr>
          <w:sz w:val="20"/>
          <w:szCs w:val="20"/>
        </w:rPr>
        <w:t xml:space="preserve">These co-funding arrangements are noted in the attached project chart. </w:t>
      </w:r>
    </w:p>
    <w:p w:rsidR="00782812" w:rsidRPr="00DB2795" w:rsidRDefault="00D24840" w:rsidP="009A7B7B">
      <w:pPr>
        <w:pStyle w:val="Heading3"/>
        <w:rPr>
          <w:sz w:val="20"/>
          <w:szCs w:val="20"/>
        </w:rPr>
      </w:pPr>
      <w:r w:rsidRPr="00DB2795">
        <w:rPr>
          <w:sz w:val="20"/>
          <w:szCs w:val="20"/>
        </w:rPr>
        <w:t>III</w:t>
      </w:r>
      <w:r w:rsidR="00834687" w:rsidRPr="00DB2795">
        <w:rPr>
          <w:sz w:val="20"/>
          <w:szCs w:val="20"/>
        </w:rPr>
        <w:t xml:space="preserve">. Assessment of the </w:t>
      </w:r>
      <w:r w:rsidR="00774FFB" w:rsidRPr="00DB2795">
        <w:rPr>
          <w:sz w:val="20"/>
          <w:szCs w:val="20"/>
        </w:rPr>
        <w:t>F</w:t>
      </w:r>
      <w:r w:rsidR="00834687" w:rsidRPr="00DB2795">
        <w:rPr>
          <w:sz w:val="20"/>
          <w:szCs w:val="20"/>
        </w:rPr>
        <w:t>ield and the</w:t>
      </w:r>
      <w:r w:rsidR="00735970" w:rsidRPr="00DB2795">
        <w:rPr>
          <w:sz w:val="20"/>
          <w:szCs w:val="20"/>
        </w:rPr>
        <w:t xml:space="preserve"> </w:t>
      </w:r>
      <w:r w:rsidR="00774FFB" w:rsidRPr="00DB2795">
        <w:rPr>
          <w:sz w:val="20"/>
          <w:szCs w:val="20"/>
        </w:rPr>
        <w:t>M</w:t>
      </w:r>
      <w:r w:rsidR="00735970" w:rsidRPr="00DB2795">
        <w:rPr>
          <w:sz w:val="20"/>
          <w:szCs w:val="20"/>
        </w:rPr>
        <w:t xml:space="preserve">ain </w:t>
      </w:r>
      <w:r w:rsidR="00774FFB" w:rsidRPr="00DB2795">
        <w:rPr>
          <w:sz w:val="20"/>
          <w:szCs w:val="20"/>
        </w:rPr>
        <w:t>P</w:t>
      </w:r>
      <w:r w:rsidR="00735970" w:rsidRPr="00DB2795">
        <w:rPr>
          <w:sz w:val="20"/>
          <w:szCs w:val="20"/>
        </w:rPr>
        <w:t>layers</w:t>
      </w:r>
    </w:p>
    <w:p w:rsidR="000912C3" w:rsidRPr="00DB2795" w:rsidRDefault="00573F3F" w:rsidP="006467DF">
      <w:pPr>
        <w:rPr>
          <w:sz w:val="20"/>
          <w:szCs w:val="20"/>
        </w:rPr>
      </w:pPr>
      <w:r w:rsidRPr="00DB2795">
        <w:rPr>
          <w:sz w:val="20"/>
          <w:szCs w:val="20"/>
        </w:rPr>
        <w:t xml:space="preserve">In </w:t>
      </w:r>
      <w:r w:rsidR="008E76E2" w:rsidRPr="00DB2795">
        <w:rPr>
          <w:sz w:val="20"/>
          <w:szCs w:val="20"/>
        </w:rPr>
        <w:t>2012 and 2013</w:t>
      </w:r>
      <w:r w:rsidRPr="00DB2795">
        <w:rPr>
          <w:sz w:val="20"/>
          <w:szCs w:val="20"/>
        </w:rPr>
        <w:t xml:space="preserve"> when we were making decisions about the grants referenced, </w:t>
      </w:r>
      <w:r w:rsidR="00500D0F" w:rsidRPr="00DB2795">
        <w:rPr>
          <w:sz w:val="20"/>
          <w:szCs w:val="20"/>
        </w:rPr>
        <w:t>physical violence and attacks on journalists remain</w:t>
      </w:r>
      <w:r w:rsidR="008E76E2" w:rsidRPr="00DB2795">
        <w:rPr>
          <w:sz w:val="20"/>
          <w:szCs w:val="20"/>
        </w:rPr>
        <w:t>ed</w:t>
      </w:r>
      <w:r w:rsidR="00500D0F" w:rsidRPr="00DB2795">
        <w:rPr>
          <w:sz w:val="20"/>
          <w:szCs w:val="20"/>
        </w:rPr>
        <w:t xml:space="preserve"> the </w:t>
      </w:r>
      <w:r w:rsidR="000912C3" w:rsidRPr="00DB2795">
        <w:rPr>
          <w:sz w:val="20"/>
          <w:szCs w:val="20"/>
        </w:rPr>
        <w:t xml:space="preserve">primary </w:t>
      </w:r>
      <w:r w:rsidR="00500D0F" w:rsidRPr="00DB2795">
        <w:rPr>
          <w:sz w:val="20"/>
          <w:szCs w:val="20"/>
        </w:rPr>
        <w:t xml:space="preserve">impediment to their work, followed by the threat of imprisonment, </w:t>
      </w:r>
      <w:r w:rsidR="000912C3" w:rsidRPr="00DB2795">
        <w:rPr>
          <w:sz w:val="20"/>
          <w:szCs w:val="20"/>
        </w:rPr>
        <w:t xml:space="preserve">whether due to </w:t>
      </w:r>
      <w:r w:rsidR="00500D0F" w:rsidRPr="00DB2795">
        <w:rPr>
          <w:sz w:val="20"/>
          <w:szCs w:val="20"/>
        </w:rPr>
        <w:t xml:space="preserve">criminal defamation laws, </w:t>
      </w:r>
      <w:r w:rsidR="000912C3" w:rsidRPr="00DB2795">
        <w:rPr>
          <w:sz w:val="20"/>
          <w:szCs w:val="20"/>
        </w:rPr>
        <w:t xml:space="preserve">to </w:t>
      </w:r>
      <w:r w:rsidR="007C71B3" w:rsidRPr="00DB2795">
        <w:rPr>
          <w:sz w:val="20"/>
          <w:szCs w:val="20"/>
        </w:rPr>
        <w:t>anti-terrorism legislation</w:t>
      </w:r>
      <w:r w:rsidR="000912C3" w:rsidRPr="00DB2795">
        <w:rPr>
          <w:sz w:val="20"/>
          <w:szCs w:val="20"/>
        </w:rPr>
        <w:t xml:space="preserve"> or to</w:t>
      </w:r>
      <w:r w:rsidR="00500D0F" w:rsidRPr="00DB2795">
        <w:rPr>
          <w:sz w:val="20"/>
          <w:szCs w:val="20"/>
        </w:rPr>
        <w:t xml:space="preserve"> laws on state secrets</w:t>
      </w:r>
      <w:r w:rsidR="00371616">
        <w:rPr>
          <w:sz w:val="20"/>
          <w:szCs w:val="20"/>
        </w:rPr>
        <w:t>, according to the Committee to Protect Journalists and other press freedom reports</w:t>
      </w:r>
      <w:r w:rsidR="00500D0F" w:rsidRPr="00DB2795">
        <w:rPr>
          <w:sz w:val="20"/>
          <w:szCs w:val="20"/>
        </w:rPr>
        <w:t>.</w:t>
      </w:r>
      <w:r w:rsidR="00F42D58" w:rsidRPr="00DB2795">
        <w:rPr>
          <w:sz w:val="20"/>
          <w:szCs w:val="20"/>
        </w:rPr>
        <w:t xml:space="preserve"> </w:t>
      </w:r>
    </w:p>
    <w:p w:rsidR="000912C3" w:rsidRPr="00DB2795" w:rsidRDefault="006E1F44" w:rsidP="006467DF">
      <w:pPr>
        <w:rPr>
          <w:sz w:val="20"/>
          <w:szCs w:val="20"/>
        </w:rPr>
      </w:pPr>
      <w:r w:rsidRPr="00DB2795">
        <w:rPr>
          <w:sz w:val="20"/>
          <w:szCs w:val="20"/>
        </w:rPr>
        <w:t xml:space="preserve">At the same time, </w:t>
      </w:r>
      <w:r w:rsidR="00DA5048">
        <w:rPr>
          <w:sz w:val="20"/>
          <w:szCs w:val="20"/>
        </w:rPr>
        <w:t xml:space="preserve">there were growing </w:t>
      </w:r>
      <w:r w:rsidR="008E76E2" w:rsidRPr="00DB2795">
        <w:rPr>
          <w:sz w:val="20"/>
          <w:szCs w:val="20"/>
        </w:rPr>
        <w:t>concern</w:t>
      </w:r>
      <w:r w:rsidR="00DA5048">
        <w:rPr>
          <w:sz w:val="20"/>
          <w:szCs w:val="20"/>
        </w:rPr>
        <w:t>s</w:t>
      </w:r>
      <w:r w:rsidR="008E76E2" w:rsidRPr="00DB2795">
        <w:rPr>
          <w:sz w:val="20"/>
          <w:szCs w:val="20"/>
        </w:rPr>
        <w:t xml:space="preserve"> over the emergence of</w:t>
      </w:r>
      <w:r w:rsidR="00856752" w:rsidRPr="00DB2795">
        <w:rPr>
          <w:sz w:val="20"/>
          <w:szCs w:val="20"/>
        </w:rPr>
        <w:t xml:space="preserve"> </w:t>
      </w:r>
      <w:r w:rsidRPr="00DB2795">
        <w:rPr>
          <w:sz w:val="20"/>
          <w:szCs w:val="20"/>
        </w:rPr>
        <w:t>“cyber</w:t>
      </w:r>
      <w:r w:rsidR="00725D6B" w:rsidRPr="00DB2795">
        <w:rPr>
          <w:sz w:val="20"/>
          <w:szCs w:val="20"/>
        </w:rPr>
        <w:t>-</w:t>
      </w:r>
      <w:r w:rsidRPr="00DB2795">
        <w:rPr>
          <w:sz w:val="20"/>
          <w:szCs w:val="20"/>
        </w:rPr>
        <w:t>laws” in a number</w:t>
      </w:r>
      <w:r w:rsidR="00DA5048">
        <w:rPr>
          <w:sz w:val="20"/>
          <w:szCs w:val="20"/>
        </w:rPr>
        <w:t xml:space="preserve"> of</w:t>
      </w:r>
      <w:r w:rsidRPr="00DB2795">
        <w:rPr>
          <w:sz w:val="20"/>
          <w:szCs w:val="20"/>
        </w:rPr>
        <w:t xml:space="preserve"> </w:t>
      </w:r>
      <w:r w:rsidR="00DA5048">
        <w:rPr>
          <w:sz w:val="20"/>
          <w:szCs w:val="20"/>
        </w:rPr>
        <w:t xml:space="preserve">regions </w:t>
      </w:r>
      <w:r w:rsidR="00E77216" w:rsidRPr="00DB2795">
        <w:rPr>
          <w:sz w:val="20"/>
          <w:szCs w:val="20"/>
        </w:rPr>
        <w:t>such as the Southeast Asia and</w:t>
      </w:r>
      <w:r w:rsidR="00F42D58" w:rsidRPr="00DB2795">
        <w:rPr>
          <w:sz w:val="20"/>
          <w:szCs w:val="20"/>
        </w:rPr>
        <w:t xml:space="preserve"> CIS</w:t>
      </w:r>
      <w:r w:rsidR="00DA5048">
        <w:rPr>
          <w:sz w:val="20"/>
          <w:szCs w:val="20"/>
        </w:rPr>
        <w:t>, which brought with them</w:t>
      </w:r>
      <w:r w:rsidR="008F15EF" w:rsidRPr="00DB2795">
        <w:rPr>
          <w:sz w:val="20"/>
          <w:szCs w:val="20"/>
        </w:rPr>
        <w:t xml:space="preserve"> </w:t>
      </w:r>
      <w:r w:rsidR="00B41836" w:rsidRPr="00DB2795">
        <w:rPr>
          <w:sz w:val="20"/>
          <w:szCs w:val="20"/>
        </w:rPr>
        <w:t>often</w:t>
      </w:r>
      <w:r w:rsidR="008F15EF" w:rsidRPr="00DB2795">
        <w:rPr>
          <w:sz w:val="20"/>
          <w:szCs w:val="20"/>
        </w:rPr>
        <w:t xml:space="preserve"> harsher fines for </w:t>
      </w:r>
      <w:r w:rsidR="00DA5048">
        <w:rPr>
          <w:sz w:val="20"/>
          <w:szCs w:val="20"/>
        </w:rPr>
        <w:t>violations of freedom of expression online than they did for the same “offenses” offline</w:t>
      </w:r>
      <w:r w:rsidR="008F15EF" w:rsidRPr="00DB2795">
        <w:rPr>
          <w:sz w:val="20"/>
          <w:szCs w:val="20"/>
        </w:rPr>
        <w:t xml:space="preserve">. </w:t>
      </w:r>
      <w:r w:rsidR="00E77216" w:rsidRPr="00DB2795">
        <w:rPr>
          <w:sz w:val="20"/>
          <w:szCs w:val="20"/>
        </w:rPr>
        <w:t>Threats from</w:t>
      </w:r>
      <w:r w:rsidR="002937AA" w:rsidRPr="00DB2795">
        <w:rPr>
          <w:sz w:val="20"/>
          <w:szCs w:val="20"/>
        </w:rPr>
        <w:t xml:space="preserve"> increased </w:t>
      </w:r>
      <w:r w:rsidR="00DA5048" w:rsidRPr="00DB2795">
        <w:rPr>
          <w:sz w:val="20"/>
          <w:szCs w:val="20"/>
        </w:rPr>
        <w:t xml:space="preserve">online </w:t>
      </w:r>
      <w:r w:rsidR="000912C3" w:rsidRPr="00DB2795">
        <w:rPr>
          <w:sz w:val="20"/>
          <w:szCs w:val="20"/>
        </w:rPr>
        <w:t xml:space="preserve">state </w:t>
      </w:r>
      <w:r w:rsidR="002937AA" w:rsidRPr="00DB2795">
        <w:rPr>
          <w:sz w:val="20"/>
          <w:szCs w:val="20"/>
        </w:rPr>
        <w:t xml:space="preserve">surveillance </w:t>
      </w:r>
      <w:r w:rsidR="00DA5048">
        <w:rPr>
          <w:sz w:val="20"/>
          <w:szCs w:val="20"/>
        </w:rPr>
        <w:t>were</w:t>
      </w:r>
      <w:r w:rsidR="002937AA" w:rsidRPr="00DB2795">
        <w:rPr>
          <w:sz w:val="20"/>
          <w:szCs w:val="20"/>
        </w:rPr>
        <w:t xml:space="preserve"> also on the rise, although</w:t>
      </w:r>
      <w:r w:rsidR="008F15EF" w:rsidRPr="00DB2795">
        <w:rPr>
          <w:sz w:val="20"/>
          <w:szCs w:val="20"/>
        </w:rPr>
        <w:t xml:space="preserve"> </w:t>
      </w:r>
      <w:r w:rsidR="002937AA" w:rsidRPr="00DB2795">
        <w:rPr>
          <w:sz w:val="20"/>
          <w:szCs w:val="20"/>
        </w:rPr>
        <w:t>a number of</w:t>
      </w:r>
      <w:r w:rsidR="008F15EF" w:rsidRPr="00DB2795">
        <w:rPr>
          <w:sz w:val="20"/>
          <w:szCs w:val="20"/>
        </w:rPr>
        <w:t xml:space="preserve"> digital rights organizations have sprung up to address these challenges (</w:t>
      </w:r>
      <w:r w:rsidR="002937AA" w:rsidRPr="00DB2795">
        <w:rPr>
          <w:sz w:val="20"/>
          <w:szCs w:val="20"/>
        </w:rPr>
        <w:t>many</w:t>
      </w:r>
      <w:r w:rsidR="008F15EF" w:rsidRPr="00DB2795">
        <w:rPr>
          <w:sz w:val="20"/>
          <w:szCs w:val="20"/>
        </w:rPr>
        <w:t xml:space="preserve"> supported by the</w:t>
      </w:r>
      <w:r w:rsidR="002937AA" w:rsidRPr="00DB2795">
        <w:rPr>
          <w:sz w:val="20"/>
          <w:szCs w:val="20"/>
        </w:rPr>
        <w:t xml:space="preserve"> Information Program). </w:t>
      </w:r>
    </w:p>
    <w:p w:rsidR="008F15EF" w:rsidRPr="00DB2795" w:rsidRDefault="000912C3" w:rsidP="006467DF">
      <w:pPr>
        <w:rPr>
          <w:sz w:val="20"/>
          <w:szCs w:val="20"/>
        </w:rPr>
      </w:pPr>
      <w:r w:rsidRPr="00DB2795">
        <w:rPr>
          <w:sz w:val="20"/>
          <w:szCs w:val="20"/>
        </w:rPr>
        <w:t xml:space="preserve">Traditional </w:t>
      </w:r>
      <w:r w:rsidR="008F15EF" w:rsidRPr="00DB2795">
        <w:rPr>
          <w:sz w:val="20"/>
          <w:szCs w:val="20"/>
        </w:rPr>
        <w:t>press freedom NGOs and lawyers specializing in</w:t>
      </w:r>
      <w:r w:rsidR="0040285B" w:rsidRPr="00DB2795">
        <w:rPr>
          <w:sz w:val="20"/>
          <w:szCs w:val="20"/>
        </w:rPr>
        <w:t xml:space="preserve"> defending</w:t>
      </w:r>
      <w:r w:rsidR="008F15EF" w:rsidRPr="00DB2795">
        <w:rPr>
          <w:sz w:val="20"/>
          <w:szCs w:val="20"/>
        </w:rPr>
        <w:t xml:space="preserve"> the media </w:t>
      </w:r>
      <w:r w:rsidR="00B41836" w:rsidRPr="00DB2795">
        <w:rPr>
          <w:sz w:val="20"/>
          <w:szCs w:val="20"/>
        </w:rPr>
        <w:t xml:space="preserve">have </w:t>
      </w:r>
      <w:r w:rsidR="008F15EF" w:rsidRPr="00DB2795">
        <w:rPr>
          <w:sz w:val="20"/>
          <w:szCs w:val="20"/>
        </w:rPr>
        <w:t>struggle</w:t>
      </w:r>
      <w:r w:rsidR="00B41836" w:rsidRPr="00DB2795">
        <w:rPr>
          <w:sz w:val="20"/>
          <w:szCs w:val="20"/>
        </w:rPr>
        <w:t>d</w:t>
      </w:r>
      <w:r w:rsidR="008F15EF" w:rsidRPr="00DB2795">
        <w:rPr>
          <w:sz w:val="20"/>
          <w:szCs w:val="20"/>
        </w:rPr>
        <w:t xml:space="preserve"> to keep up with </w:t>
      </w:r>
      <w:r w:rsidRPr="00DB2795">
        <w:rPr>
          <w:sz w:val="20"/>
          <w:szCs w:val="20"/>
        </w:rPr>
        <w:t xml:space="preserve">developments </w:t>
      </w:r>
      <w:r w:rsidR="008F15EF" w:rsidRPr="00DB2795">
        <w:rPr>
          <w:sz w:val="20"/>
          <w:szCs w:val="20"/>
        </w:rPr>
        <w:t xml:space="preserve">and </w:t>
      </w:r>
      <w:r w:rsidRPr="00DB2795">
        <w:rPr>
          <w:sz w:val="20"/>
          <w:szCs w:val="20"/>
        </w:rPr>
        <w:t xml:space="preserve">to </w:t>
      </w:r>
      <w:r w:rsidR="008F15EF" w:rsidRPr="00DB2795">
        <w:rPr>
          <w:sz w:val="20"/>
          <w:szCs w:val="20"/>
        </w:rPr>
        <w:t>apply new</w:t>
      </w:r>
      <w:r w:rsidR="009E24B8" w:rsidRPr="00DB2795">
        <w:rPr>
          <w:sz w:val="20"/>
          <w:szCs w:val="20"/>
        </w:rPr>
        <w:t xml:space="preserve"> digital</w:t>
      </w:r>
      <w:r w:rsidR="008F15EF" w:rsidRPr="00DB2795">
        <w:rPr>
          <w:sz w:val="20"/>
          <w:szCs w:val="20"/>
        </w:rPr>
        <w:t xml:space="preserve"> standards as they evolve, while journalists have become more vulnerable to legal threats, </w:t>
      </w:r>
      <w:r w:rsidR="00B41836" w:rsidRPr="00DB2795">
        <w:rPr>
          <w:sz w:val="20"/>
          <w:szCs w:val="20"/>
        </w:rPr>
        <w:t>due to their own lack of legal training</w:t>
      </w:r>
      <w:r w:rsidR="008F15EF" w:rsidRPr="00DB2795">
        <w:rPr>
          <w:sz w:val="20"/>
          <w:szCs w:val="20"/>
        </w:rPr>
        <w:t xml:space="preserve">. </w:t>
      </w:r>
    </w:p>
    <w:p w:rsidR="00884404" w:rsidRPr="00DB2795" w:rsidRDefault="00CA3C60" w:rsidP="006467DF">
      <w:pPr>
        <w:rPr>
          <w:sz w:val="20"/>
          <w:szCs w:val="20"/>
        </w:rPr>
      </w:pPr>
      <w:r w:rsidRPr="00DB2795">
        <w:rPr>
          <w:sz w:val="20"/>
          <w:szCs w:val="20"/>
        </w:rPr>
        <w:t xml:space="preserve">The </w:t>
      </w:r>
      <w:r w:rsidR="00D57D11" w:rsidRPr="00DB2795">
        <w:rPr>
          <w:sz w:val="20"/>
          <w:szCs w:val="20"/>
        </w:rPr>
        <w:t>number of</w:t>
      </w:r>
      <w:r w:rsidRPr="00DB2795">
        <w:rPr>
          <w:sz w:val="20"/>
          <w:szCs w:val="20"/>
        </w:rPr>
        <w:t xml:space="preserve"> </w:t>
      </w:r>
      <w:r w:rsidR="00622DAF" w:rsidRPr="00DB2795">
        <w:rPr>
          <w:sz w:val="20"/>
          <w:szCs w:val="20"/>
        </w:rPr>
        <w:t>organizations that</w:t>
      </w:r>
      <w:r w:rsidRPr="00DB2795">
        <w:rPr>
          <w:sz w:val="20"/>
          <w:szCs w:val="20"/>
        </w:rPr>
        <w:t xml:space="preserve"> support media law reform </w:t>
      </w:r>
      <w:r w:rsidR="008E5F41" w:rsidRPr="00DB2795">
        <w:rPr>
          <w:sz w:val="20"/>
          <w:szCs w:val="20"/>
        </w:rPr>
        <w:t xml:space="preserve">efforts </w:t>
      </w:r>
      <w:r w:rsidRPr="00DB2795">
        <w:rPr>
          <w:sz w:val="20"/>
          <w:szCs w:val="20"/>
        </w:rPr>
        <w:t xml:space="preserve">and provide litigation </w:t>
      </w:r>
      <w:r w:rsidR="00A20A90" w:rsidRPr="00DB2795">
        <w:rPr>
          <w:sz w:val="20"/>
          <w:szCs w:val="20"/>
        </w:rPr>
        <w:t xml:space="preserve">support </w:t>
      </w:r>
      <w:r w:rsidRPr="00DB2795">
        <w:rPr>
          <w:sz w:val="20"/>
          <w:szCs w:val="20"/>
        </w:rPr>
        <w:t xml:space="preserve">to </w:t>
      </w:r>
      <w:r w:rsidR="004B10BC" w:rsidRPr="00DB2795">
        <w:rPr>
          <w:sz w:val="20"/>
          <w:szCs w:val="20"/>
        </w:rPr>
        <w:t>journalists and media</w:t>
      </w:r>
      <w:r w:rsidRPr="00DB2795">
        <w:rPr>
          <w:sz w:val="20"/>
          <w:szCs w:val="20"/>
        </w:rPr>
        <w:t xml:space="preserve"> </w:t>
      </w:r>
      <w:r w:rsidR="004B10BC" w:rsidRPr="00DB2795">
        <w:rPr>
          <w:sz w:val="20"/>
          <w:szCs w:val="20"/>
        </w:rPr>
        <w:t>as</w:t>
      </w:r>
      <w:r w:rsidRPr="00DB2795">
        <w:rPr>
          <w:sz w:val="20"/>
          <w:szCs w:val="20"/>
        </w:rPr>
        <w:t xml:space="preserve"> </w:t>
      </w:r>
      <w:r w:rsidR="004B10BC" w:rsidRPr="00DB2795">
        <w:rPr>
          <w:sz w:val="20"/>
          <w:szCs w:val="20"/>
        </w:rPr>
        <w:t xml:space="preserve">a </w:t>
      </w:r>
      <w:r w:rsidRPr="00DB2795">
        <w:rPr>
          <w:sz w:val="20"/>
          <w:szCs w:val="20"/>
        </w:rPr>
        <w:t xml:space="preserve">field </w:t>
      </w:r>
      <w:r w:rsidR="00383476" w:rsidRPr="00DB2795">
        <w:rPr>
          <w:sz w:val="20"/>
          <w:szCs w:val="20"/>
        </w:rPr>
        <w:t xml:space="preserve">had </w:t>
      </w:r>
      <w:r w:rsidR="008E5F41" w:rsidRPr="00DB2795">
        <w:rPr>
          <w:sz w:val="20"/>
          <w:szCs w:val="20"/>
        </w:rPr>
        <w:t>grown</w:t>
      </w:r>
      <w:r w:rsidR="007941FC" w:rsidRPr="00DB2795">
        <w:rPr>
          <w:sz w:val="20"/>
          <w:szCs w:val="20"/>
        </w:rPr>
        <w:t xml:space="preserve"> </w:t>
      </w:r>
      <w:r w:rsidRPr="00DB2795">
        <w:rPr>
          <w:sz w:val="20"/>
          <w:szCs w:val="20"/>
        </w:rPr>
        <w:t xml:space="preserve">over the </w:t>
      </w:r>
      <w:r w:rsidR="00383476" w:rsidRPr="00DB2795">
        <w:rPr>
          <w:sz w:val="20"/>
          <w:szCs w:val="20"/>
        </w:rPr>
        <w:t>preceding</w:t>
      </w:r>
      <w:r w:rsidRPr="00DB2795">
        <w:rPr>
          <w:sz w:val="20"/>
          <w:szCs w:val="20"/>
        </w:rPr>
        <w:t xml:space="preserve"> years</w:t>
      </w:r>
      <w:r w:rsidR="004034FF" w:rsidRPr="00DB2795">
        <w:rPr>
          <w:sz w:val="20"/>
          <w:szCs w:val="20"/>
        </w:rPr>
        <w:t>, but not without challenges</w:t>
      </w:r>
      <w:r w:rsidRPr="00DB2795">
        <w:rPr>
          <w:sz w:val="20"/>
          <w:szCs w:val="20"/>
        </w:rPr>
        <w:t xml:space="preserve">. </w:t>
      </w:r>
      <w:r w:rsidR="00622DAF" w:rsidRPr="00DB2795">
        <w:rPr>
          <w:sz w:val="20"/>
          <w:szCs w:val="20"/>
        </w:rPr>
        <w:t xml:space="preserve">In </w:t>
      </w:r>
      <w:r w:rsidR="00C62E73" w:rsidRPr="00DB2795">
        <w:rPr>
          <w:sz w:val="20"/>
          <w:szCs w:val="20"/>
        </w:rPr>
        <w:t xml:space="preserve">many cases, </w:t>
      </w:r>
      <w:r w:rsidR="009E24B8" w:rsidRPr="00DB2795">
        <w:rPr>
          <w:sz w:val="20"/>
          <w:szCs w:val="20"/>
        </w:rPr>
        <w:t xml:space="preserve">legal support </w:t>
      </w:r>
      <w:r w:rsidR="00383476" w:rsidRPr="00DB2795">
        <w:rPr>
          <w:sz w:val="20"/>
          <w:szCs w:val="20"/>
        </w:rPr>
        <w:t>was</w:t>
      </w:r>
      <w:r w:rsidR="002878EE" w:rsidRPr="00DB2795">
        <w:rPr>
          <w:sz w:val="20"/>
          <w:szCs w:val="20"/>
        </w:rPr>
        <w:t xml:space="preserve"> “embedded” in existing freedom of expression organizations, </w:t>
      </w:r>
      <w:r w:rsidR="008E5F41" w:rsidRPr="00DB2795">
        <w:rPr>
          <w:sz w:val="20"/>
          <w:szCs w:val="20"/>
        </w:rPr>
        <w:t xml:space="preserve">ranging from global </w:t>
      </w:r>
      <w:r w:rsidR="0040285B" w:rsidRPr="00DB2795">
        <w:rPr>
          <w:sz w:val="20"/>
          <w:szCs w:val="20"/>
        </w:rPr>
        <w:t xml:space="preserve">players </w:t>
      </w:r>
      <w:r w:rsidR="00F42D58" w:rsidRPr="00DB2795">
        <w:rPr>
          <w:sz w:val="20"/>
          <w:szCs w:val="20"/>
        </w:rPr>
        <w:t xml:space="preserve">such as Reporters </w:t>
      </w:r>
      <w:r w:rsidR="00DA5048">
        <w:rPr>
          <w:sz w:val="20"/>
          <w:szCs w:val="20"/>
        </w:rPr>
        <w:t>Wi</w:t>
      </w:r>
      <w:r w:rsidR="00DA5048" w:rsidRPr="00DB2795">
        <w:rPr>
          <w:sz w:val="20"/>
          <w:szCs w:val="20"/>
        </w:rPr>
        <w:t>thout</w:t>
      </w:r>
      <w:r w:rsidR="00F42D58" w:rsidRPr="00DB2795">
        <w:rPr>
          <w:sz w:val="20"/>
          <w:szCs w:val="20"/>
        </w:rPr>
        <w:t xml:space="preserve"> </w:t>
      </w:r>
      <w:r w:rsidR="008E5F41" w:rsidRPr="00DB2795">
        <w:rPr>
          <w:sz w:val="20"/>
          <w:szCs w:val="20"/>
        </w:rPr>
        <w:t xml:space="preserve">Borders to </w:t>
      </w:r>
      <w:r w:rsidR="0040285B" w:rsidRPr="00DB2795">
        <w:rPr>
          <w:sz w:val="20"/>
          <w:szCs w:val="20"/>
        </w:rPr>
        <w:t>regional actors such as the</w:t>
      </w:r>
      <w:r w:rsidR="008E5F41" w:rsidRPr="00DB2795">
        <w:rPr>
          <w:sz w:val="20"/>
          <w:szCs w:val="20"/>
        </w:rPr>
        <w:t xml:space="preserve"> </w:t>
      </w:r>
      <w:r w:rsidR="00473ED0" w:rsidRPr="00DB2795">
        <w:rPr>
          <w:sz w:val="20"/>
          <w:szCs w:val="20"/>
        </w:rPr>
        <w:t>Media Foundation in West Africa</w:t>
      </w:r>
      <w:r w:rsidR="008E5F41" w:rsidRPr="00DB2795">
        <w:rPr>
          <w:sz w:val="20"/>
          <w:szCs w:val="20"/>
        </w:rPr>
        <w:t xml:space="preserve">, all of </w:t>
      </w:r>
      <w:r w:rsidR="002878EE" w:rsidRPr="00DB2795">
        <w:rPr>
          <w:sz w:val="20"/>
          <w:szCs w:val="20"/>
        </w:rPr>
        <w:t xml:space="preserve">which </w:t>
      </w:r>
      <w:r w:rsidR="008E5F41" w:rsidRPr="00DB2795">
        <w:rPr>
          <w:sz w:val="20"/>
          <w:szCs w:val="20"/>
        </w:rPr>
        <w:t>are engaged in</w:t>
      </w:r>
      <w:r w:rsidR="002878EE" w:rsidRPr="00DB2795">
        <w:rPr>
          <w:sz w:val="20"/>
          <w:szCs w:val="20"/>
        </w:rPr>
        <w:t xml:space="preserve"> working on a m</w:t>
      </w:r>
      <w:r w:rsidR="000912C3" w:rsidRPr="00DB2795">
        <w:rPr>
          <w:sz w:val="20"/>
          <w:szCs w:val="20"/>
        </w:rPr>
        <w:t xml:space="preserve">ultitude </w:t>
      </w:r>
      <w:r w:rsidR="002878EE" w:rsidRPr="00DB2795">
        <w:rPr>
          <w:sz w:val="20"/>
          <w:szCs w:val="20"/>
        </w:rPr>
        <w:t>of other issues, ranging from monitoring violations</w:t>
      </w:r>
      <w:r w:rsidR="009E397E" w:rsidRPr="00DB2795">
        <w:rPr>
          <w:sz w:val="20"/>
          <w:szCs w:val="20"/>
        </w:rPr>
        <w:t xml:space="preserve"> </w:t>
      </w:r>
      <w:r w:rsidR="008E5F41" w:rsidRPr="00DB2795">
        <w:rPr>
          <w:sz w:val="20"/>
          <w:szCs w:val="20"/>
        </w:rPr>
        <w:t xml:space="preserve">on freedom of expression </w:t>
      </w:r>
      <w:r w:rsidR="006011FA" w:rsidRPr="00DB2795">
        <w:rPr>
          <w:sz w:val="20"/>
          <w:szCs w:val="20"/>
        </w:rPr>
        <w:t>to addressing safety needs of journalists</w:t>
      </w:r>
      <w:r w:rsidR="00A920CE" w:rsidRPr="00DB2795">
        <w:rPr>
          <w:sz w:val="20"/>
          <w:szCs w:val="20"/>
        </w:rPr>
        <w:t xml:space="preserve">. Few </w:t>
      </w:r>
      <w:r w:rsidR="008E5F41" w:rsidRPr="00DB2795">
        <w:rPr>
          <w:sz w:val="20"/>
          <w:szCs w:val="20"/>
        </w:rPr>
        <w:t xml:space="preserve">freedom of expression organizations </w:t>
      </w:r>
      <w:r w:rsidR="00DA5048">
        <w:rPr>
          <w:sz w:val="20"/>
          <w:szCs w:val="20"/>
        </w:rPr>
        <w:t xml:space="preserve">have </w:t>
      </w:r>
      <w:r w:rsidR="00383476" w:rsidRPr="00DB2795">
        <w:rPr>
          <w:sz w:val="20"/>
          <w:szCs w:val="20"/>
        </w:rPr>
        <w:t xml:space="preserve">had </w:t>
      </w:r>
      <w:r w:rsidR="00F86FC9" w:rsidRPr="00DB2795">
        <w:rPr>
          <w:sz w:val="20"/>
          <w:szCs w:val="20"/>
        </w:rPr>
        <w:t xml:space="preserve">the resources </w:t>
      </w:r>
      <w:r w:rsidR="009E397E" w:rsidRPr="00DB2795">
        <w:rPr>
          <w:sz w:val="20"/>
          <w:szCs w:val="20"/>
        </w:rPr>
        <w:t>to support fulltime lawyers</w:t>
      </w:r>
      <w:r w:rsidR="00F86FC9" w:rsidRPr="00DB2795">
        <w:rPr>
          <w:sz w:val="20"/>
          <w:szCs w:val="20"/>
        </w:rPr>
        <w:t xml:space="preserve"> to assist with legal issues</w:t>
      </w:r>
      <w:r w:rsidR="009E24B8" w:rsidRPr="00DB2795">
        <w:rPr>
          <w:sz w:val="20"/>
          <w:szCs w:val="20"/>
        </w:rPr>
        <w:t xml:space="preserve">. </w:t>
      </w:r>
    </w:p>
    <w:p w:rsidR="00015D6A" w:rsidRPr="00DB2795" w:rsidRDefault="008E5F41" w:rsidP="006467DF">
      <w:pPr>
        <w:rPr>
          <w:sz w:val="20"/>
          <w:szCs w:val="20"/>
        </w:rPr>
      </w:pPr>
      <w:r w:rsidRPr="00DB2795">
        <w:rPr>
          <w:sz w:val="20"/>
          <w:szCs w:val="20"/>
        </w:rPr>
        <w:t xml:space="preserve">In </w:t>
      </w:r>
      <w:r w:rsidR="009E24B8" w:rsidRPr="00DB2795">
        <w:rPr>
          <w:sz w:val="20"/>
          <w:szCs w:val="20"/>
        </w:rPr>
        <w:t>other</w:t>
      </w:r>
      <w:r w:rsidRPr="00DB2795">
        <w:rPr>
          <w:sz w:val="20"/>
          <w:szCs w:val="20"/>
        </w:rPr>
        <w:t xml:space="preserve"> cases</w:t>
      </w:r>
      <w:r w:rsidR="007F3F84" w:rsidRPr="00DB2795">
        <w:rPr>
          <w:sz w:val="20"/>
          <w:szCs w:val="20"/>
        </w:rPr>
        <w:t xml:space="preserve">, </w:t>
      </w:r>
      <w:r w:rsidRPr="00DB2795">
        <w:rPr>
          <w:sz w:val="20"/>
          <w:szCs w:val="20"/>
        </w:rPr>
        <w:t>legal</w:t>
      </w:r>
      <w:r w:rsidR="00F86FC9" w:rsidRPr="00DB2795">
        <w:rPr>
          <w:sz w:val="20"/>
          <w:szCs w:val="20"/>
        </w:rPr>
        <w:t xml:space="preserve"> </w:t>
      </w:r>
      <w:r w:rsidR="00CA428E" w:rsidRPr="00DB2795">
        <w:rPr>
          <w:sz w:val="20"/>
          <w:szCs w:val="20"/>
        </w:rPr>
        <w:t xml:space="preserve">networks </w:t>
      </w:r>
      <w:r w:rsidR="00383476" w:rsidRPr="00DB2795">
        <w:rPr>
          <w:sz w:val="20"/>
          <w:szCs w:val="20"/>
        </w:rPr>
        <w:t xml:space="preserve">had </w:t>
      </w:r>
      <w:r w:rsidR="009E397E" w:rsidRPr="00DB2795">
        <w:rPr>
          <w:sz w:val="20"/>
          <w:szCs w:val="20"/>
        </w:rPr>
        <w:t>form</w:t>
      </w:r>
      <w:r w:rsidR="00F86FC9" w:rsidRPr="00DB2795">
        <w:rPr>
          <w:sz w:val="20"/>
          <w:szCs w:val="20"/>
        </w:rPr>
        <w:t>ed</w:t>
      </w:r>
      <w:r w:rsidR="009E397E" w:rsidRPr="00DB2795">
        <w:rPr>
          <w:sz w:val="20"/>
          <w:szCs w:val="20"/>
        </w:rPr>
        <w:t xml:space="preserve"> around</w:t>
      </w:r>
      <w:r w:rsidR="002878EE" w:rsidRPr="00DB2795">
        <w:rPr>
          <w:sz w:val="20"/>
          <w:szCs w:val="20"/>
        </w:rPr>
        <w:t xml:space="preserve"> </w:t>
      </w:r>
      <w:r w:rsidR="00E94069" w:rsidRPr="00DB2795">
        <w:rPr>
          <w:sz w:val="20"/>
          <w:szCs w:val="20"/>
        </w:rPr>
        <w:t>specific themes.</w:t>
      </w:r>
      <w:r w:rsidR="00CA428E" w:rsidRPr="00DB2795">
        <w:rPr>
          <w:sz w:val="20"/>
          <w:szCs w:val="20"/>
        </w:rPr>
        <w:t xml:space="preserve"> For example, i</w:t>
      </w:r>
      <w:r w:rsidR="004B10BC" w:rsidRPr="00DB2795">
        <w:rPr>
          <w:sz w:val="20"/>
          <w:szCs w:val="20"/>
        </w:rPr>
        <w:t>nternational, regional and local experts</w:t>
      </w:r>
      <w:r w:rsidR="001B4145" w:rsidRPr="00DB2795">
        <w:rPr>
          <w:sz w:val="20"/>
          <w:szCs w:val="20"/>
        </w:rPr>
        <w:t xml:space="preserve"> and NGOs</w:t>
      </w:r>
      <w:r w:rsidR="004B10BC" w:rsidRPr="00DB2795">
        <w:rPr>
          <w:sz w:val="20"/>
          <w:szCs w:val="20"/>
        </w:rPr>
        <w:t xml:space="preserve"> </w:t>
      </w:r>
      <w:r w:rsidR="007F3F84" w:rsidRPr="00DB2795">
        <w:rPr>
          <w:sz w:val="20"/>
          <w:szCs w:val="20"/>
        </w:rPr>
        <w:t>have</w:t>
      </w:r>
      <w:r w:rsidR="00CA3C60" w:rsidRPr="00DB2795">
        <w:rPr>
          <w:sz w:val="20"/>
          <w:szCs w:val="20"/>
        </w:rPr>
        <w:t xml:space="preserve"> come together</w:t>
      </w:r>
      <w:r w:rsidR="00F42D58" w:rsidRPr="00DB2795">
        <w:rPr>
          <w:rStyle w:val="CommentReference"/>
          <w:sz w:val="20"/>
          <w:szCs w:val="20"/>
        </w:rPr>
        <w:t xml:space="preserve"> to</w:t>
      </w:r>
      <w:r w:rsidR="003442DF">
        <w:rPr>
          <w:rStyle w:val="CommentReference"/>
          <w:sz w:val="20"/>
          <w:szCs w:val="20"/>
        </w:rPr>
        <w:t xml:space="preserve"> </w:t>
      </w:r>
      <w:r w:rsidR="00B41836" w:rsidRPr="00DB2795">
        <w:rPr>
          <w:sz w:val="20"/>
          <w:szCs w:val="20"/>
        </w:rPr>
        <w:t xml:space="preserve">reform defamation laws in </w:t>
      </w:r>
      <w:r w:rsidR="00F42D58" w:rsidRPr="00DB2795">
        <w:rPr>
          <w:sz w:val="20"/>
          <w:szCs w:val="20"/>
        </w:rPr>
        <w:t>Asia</w:t>
      </w:r>
      <w:r w:rsidR="003442DF">
        <w:rPr>
          <w:sz w:val="20"/>
          <w:szCs w:val="20"/>
        </w:rPr>
        <w:t>. A</w:t>
      </w:r>
      <w:r w:rsidR="009E24B8" w:rsidRPr="00DB2795">
        <w:rPr>
          <w:sz w:val="20"/>
          <w:szCs w:val="20"/>
        </w:rPr>
        <w:t xml:space="preserve"> number of </w:t>
      </w:r>
      <w:r w:rsidR="00B41836" w:rsidRPr="00DB2795">
        <w:rPr>
          <w:sz w:val="20"/>
          <w:szCs w:val="20"/>
        </w:rPr>
        <w:t>donors have come on board to support similar decriminalization efforts in Africa</w:t>
      </w:r>
      <w:r w:rsidR="009E24B8" w:rsidRPr="00DB2795">
        <w:rPr>
          <w:sz w:val="20"/>
          <w:szCs w:val="20"/>
        </w:rPr>
        <w:t>, following the initial funding provided by PIJ</w:t>
      </w:r>
      <w:r w:rsidR="00B41836" w:rsidRPr="00DB2795">
        <w:rPr>
          <w:sz w:val="20"/>
          <w:szCs w:val="20"/>
        </w:rPr>
        <w:t>.</w:t>
      </w:r>
      <w:r w:rsidR="009E24B8" w:rsidRPr="00DB2795">
        <w:rPr>
          <w:sz w:val="20"/>
          <w:szCs w:val="20"/>
        </w:rPr>
        <w:t xml:space="preserve"> Increa</w:t>
      </w:r>
      <w:r w:rsidR="00B41836" w:rsidRPr="00DB2795">
        <w:rPr>
          <w:sz w:val="20"/>
          <w:szCs w:val="20"/>
        </w:rPr>
        <w:t xml:space="preserve">singly, legal experts </w:t>
      </w:r>
      <w:r w:rsidR="009E24B8" w:rsidRPr="00DB2795">
        <w:rPr>
          <w:sz w:val="20"/>
          <w:szCs w:val="20"/>
        </w:rPr>
        <w:t xml:space="preserve">have come together to support legal </w:t>
      </w:r>
      <w:r w:rsidR="003442DF">
        <w:rPr>
          <w:sz w:val="20"/>
          <w:szCs w:val="20"/>
        </w:rPr>
        <w:t xml:space="preserve">mechanisms </w:t>
      </w:r>
      <w:r w:rsidR="009E24B8" w:rsidRPr="00DB2795">
        <w:rPr>
          <w:sz w:val="20"/>
          <w:szCs w:val="20"/>
        </w:rPr>
        <w:t>to guarantee protection for journalists, such as in Latin America.</w:t>
      </w:r>
      <w:r w:rsidR="00CA428E" w:rsidRPr="00DB2795">
        <w:rPr>
          <w:sz w:val="20"/>
          <w:szCs w:val="20"/>
        </w:rPr>
        <w:t xml:space="preserve"> </w:t>
      </w:r>
    </w:p>
    <w:p w:rsidR="00355145" w:rsidRPr="00DB2795" w:rsidRDefault="00C846C3" w:rsidP="006467DF">
      <w:pPr>
        <w:rPr>
          <w:sz w:val="20"/>
          <w:szCs w:val="20"/>
        </w:rPr>
      </w:pPr>
      <w:r w:rsidRPr="00DB2795">
        <w:rPr>
          <w:sz w:val="20"/>
          <w:szCs w:val="20"/>
        </w:rPr>
        <w:t xml:space="preserve">Attempting to build upon and strengthen </w:t>
      </w:r>
      <w:r w:rsidR="00EC6686" w:rsidRPr="00DB2795">
        <w:rPr>
          <w:sz w:val="20"/>
          <w:szCs w:val="20"/>
        </w:rPr>
        <w:t xml:space="preserve">legal </w:t>
      </w:r>
      <w:r w:rsidRPr="00DB2795">
        <w:rPr>
          <w:sz w:val="20"/>
          <w:szCs w:val="20"/>
        </w:rPr>
        <w:t xml:space="preserve">networks, and seek integration between them, </w:t>
      </w:r>
      <w:r w:rsidR="00DA5048">
        <w:rPr>
          <w:sz w:val="20"/>
          <w:szCs w:val="20"/>
        </w:rPr>
        <w:t>has</w:t>
      </w:r>
      <w:r w:rsidR="008E76E2" w:rsidRPr="00DB2795">
        <w:rPr>
          <w:sz w:val="20"/>
          <w:szCs w:val="20"/>
        </w:rPr>
        <w:t xml:space="preserve"> always been a</w:t>
      </w:r>
      <w:r w:rsidRPr="00DB2795">
        <w:rPr>
          <w:sz w:val="20"/>
          <w:szCs w:val="20"/>
        </w:rPr>
        <w:t xml:space="preserve"> key component of </w:t>
      </w:r>
      <w:r w:rsidR="009E24B8" w:rsidRPr="00DB2795">
        <w:rPr>
          <w:sz w:val="20"/>
          <w:szCs w:val="20"/>
        </w:rPr>
        <w:t>the PIJ’s strategy</w:t>
      </w:r>
      <w:r w:rsidR="00F42D58" w:rsidRPr="00DB2795">
        <w:rPr>
          <w:sz w:val="20"/>
          <w:szCs w:val="20"/>
        </w:rPr>
        <w:t xml:space="preserve">. </w:t>
      </w:r>
      <w:r w:rsidRPr="00DB2795">
        <w:rPr>
          <w:sz w:val="20"/>
          <w:szCs w:val="20"/>
        </w:rPr>
        <w:t xml:space="preserve">Other donors </w:t>
      </w:r>
      <w:r w:rsidR="00FE6BCC" w:rsidRPr="00DB2795">
        <w:rPr>
          <w:sz w:val="20"/>
          <w:szCs w:val="20"/>
        </w:rPr>
        <w:t xml:space="preserve">actively </w:t>
      </w:r>
      <w:r w:rsidRPr="00DB2795">
        <w:rPr>
          <w:sz w:val="20"/>
          <w:szCs w:val="20"/>
        </w:rPr>
        <w:t xml:space="preserve">supporting </w:t>
      </w:r>
      <w:r w:rsidR="00C25BDF" w:rsidRPr="00DB2795">
        <w:rPr>
          <w:sz w:val="20"/>
          <w:szCs w:val="20"/>
        </w:rPr>
        <w:t>such efforts include</w:t>
      </w:r>
      <w:r w:rsidRPr="00DB2795">
        <w:rPr>
          <w:sz w:val="20"/>
          <w:szCs w:val="20"/>
        </w:rPr>
        <w:t xml:space="preserve"> USAID, Swedish SIDA, the Ford Foundation, Sigrid Rausing Trust and the Adessium Foundation</w:t>
      </w:r>
      <w:r w:rsidR="00C25BDF" w:rsidRPr="00DB2795">
        <w:rPr>
          <w:sz w:val="20"/>
          <w:szCs w:val="20"/>
        </w:rPr>
        <w:t>.</w:t>
      </w:r>
      <w:r w:rsidRPr="00DB2795">
        <w:rPr>
          <w:sz w:val="20"/>
          <w:szCs w:val="20"/>
        </w:rPr>
        <w:t xml:space="preserve"> It is difficult, however, to determine the exact spending not only </w:t>
      </w:r>
      <w:r w:rsidR="00884404" w:rsidRPr="00DB2795">
        <w:rPr>
          <w:sz w:val="20"/>
          <w:szCs w:val="20"/>
        </w:rPr>
        <w:t xml:space="preserve">on </w:t>
      </w:r>
      <w:r w:rsidRPr="00DB2795">
        <w:rPr>
          <w:sz w:val="20"/>
          <w:szCs w:val="20"/>
        </w:rPr>
        <w:t xml:space="preserve">legal </w:t>
      </w:r>
      <w:r w:rsidR="00FE6BCC" w:rsidRPr="00DB2795">
        <w:rPr>
          <w:sz w:val="20"/>
          <w:szCs w:val="20"/>
        </w:rPr>
        <w:t xml:space="preserve">reform and litigation activities </w:t>
      </w:r>
      <w:r w:rsidR="00EC6686" w:rsidRPr="00DB2795">
        <w:rPr>
          <w:sz w:val="20"/>
          <w:szCs w:val="20"/>
        </w:rPr>
        <w:t xml:space="preserve">but </w:t>
      </w:r>
      <w:r w:rsidR="00884404" w:rsidRPr="00DB2795">
        <w:rPr>
          <w:sz w:val="20"/>
          <w:szCs w:val="20"/>
        </w:rPr>
        <w:t xml:space="preserve">on </w:t>
      </w:r>
      <w:r w:rsidRPr="00DB2795">
        <w:rPr>
          <w:sz w:val="20"/>
          <w:szCs w:val="20"/>
        </w:rPr>
        <w:t xml:space="preserve">freedom of expression in general, as the </w:t>
      </w:r>
      <w:hyperlink r:id="rId9" w:history="1">
        <w:r w:rsidR="00884404" w:rsidRPr="00DB2795">
          <w:rPr>
            <w:rStyle w:val="Hyperlink"/>
            <w:sz w:val="20"/>
            <w:szCs w:val="20"/>
          </w:rPr>
          <w:t xml:space="preserve">most recent </w:t>
        </w:r>
        <w:r w:rsidRPr="00DB2795">
          <w:rPr>
            <w:rStyle w:val="Hyperlink"/>
            <w:sz w:val="20"/>
            <w:szCs w:val="20"/>
          </w:rPr>
          <w:t>survey</w:t>
        </w:r>
      </w:hyperlink>
      <w:r w:rsidRPr="00DB2795">
        <w:rPr>
          <w:sz w:val="20"/>
          <w:szCs w:val="20"/>
        </w:rPr>
        <w:t xml:space="preserve">, funded by PIJ in 2011 shows. </w:t>
      </w:r>
      <w:r w:rsidR="00C25BDF" w:rsidRPr="00DB2795">
        <w:rPr>
          <w:sz w:val="20"/>
          <w:szCs w:val="20"/>
        </w:rPr>
        <w:t>It also notes</w:t>
      </w:r>
      <w:r w:rsidRPr="00DB2795">
        <w:rPr>
          <w:sz w:val="20"/>
          <w:szCs w:val="20"/>
        </w:rPr>
        <w:t xml:space="preserve"> that support for “traditional” freedo</w:t>
      </w:r>
      <w:r w:rsidR="00F42D58" w:rsidRPr="00DB2795">
        <w:rPr>
          <w:sz w:val="20"/>
          <w:szCs w:val="20"/>
        </w:rPr>
        <w:t xml:space="preserve">m </w:t>
      </w:r>
      <w:r w:rsidR="003442DF">
        <w:rPr>
          <w:sz w:val="20"/>
          <w:szCs w:val="20"/>
        </w:rPr>
        <w:t>o</w:t>
      </w:r>
      <w:r w:rsidRPr="00DB2795">
        <w:rPr>
          <w:sz w:val="20"/>
          <w:szCs w:val="20"/>
        </w:rPr>
        <w:t xml:space="preserve">f expression work is diminishing </w:t>
      </w:r>
      <w:r w:rsidR="00C25BDF" w:rsidRPr="00DB2795">
        <w:rPr>
          <w:sz w:val="20"/>
          <w:szCs w:val="20"/>
        </w:rPr>
        <w:t xml:space="preserve">as </w:t>
      </w:r>
      <w:r w:rsidRPr="00DB2795">
        <w:rPr>
          <w:sz w:val="20"/>
          <w:szCs w:val="20"/>
        </w:rPr>
        <w:t xml:space="preserve">donors </w:t>
      </w:r>
      <w:r w:rsidR="00C25BDF" w:rsidRPr="00DB2795">
        <w:rPr>
          <w:sz w:val="20"/>
          <w:szCs w:val="20"/>
        </w:rPr>
        <w:t>move towards supporting</w:t>
      </w:r>
      <w:r w:rsidR="00EC6686" w:rsidRPr="00DB2795">
        <w:rPr>
          <w:sz w:val="20"/>
          <w:szCs w:val="20"/>
        </w:rPr>
        <w:t xml:space="preserve"> </w:t>
      </w:r>
      <w:r w:rsidR="00C25BDF" w:rsidRPr="00DB2795">
        <w:rPr>
          <w:sz w:val="20"/>
          <w:szCs w:val="20"/>
        </w:rPr>
        <w:t>digital rights</w:t>
      </w:r>
      <w:r w:rsidR="00884404" w:rsidRPr="00DB2795">
        <w:rPr>
          <w:sz w:val="20"/>
          <w:szCs w:val="20"/>
        </w:rPr>
        <w:t xml:space="preserve">. </w:t>
      </w:r>
    </w:p>
    <w:p w:rsidR="003E0A29" w:rsidRPr="00DB2795" w:rsidRDefault="00D30725" w:rsidP="006467DF">
      <w:pPr>
        <w:rPr>
          <w:sz w:val="20"/>
          <w:szCs w:val="20"/>
        </w:rPr>
      </w:pPr>
      <w:r w:rsidRPr="00DB2795">
        <w:rPr>
          <w:sz w:val="20"/>
          <w:szCs w:val="20"/>
        </w:rPr>
        <w:t xml:space="preserve">The </w:t>
      </w:r>
      <w:r w:rsidR="00E94069" w:rsidRPr="00DB2795">
        <w:rPr>
          <w:sz w:val="20"/>
          <w:szCs w:val="20"/>
        </w:rPr>
        <w:t xml:space="preserve">two </w:t>
      </w:r>
      <w:r w:rsidRPr="00DB2795">
        <w:rPr>
          <w:sz w:val="20"/>
          <w:szCs w:val="20"/>
        </w:rPr>
        <w:t xml:space="preserve">main </w:t>
      </w:r>
      <w:r w:rsidR="00C25BDF" w:rsidRPr="00DB2795">
        <w:rPr>
          <w:sz w:val="20"/>
          <w:szCs w:val="20"/>
        </w:rPr>
        <w:t xml:space="preserve">legal-support </w:t>
      </w:r>
      <w:r w:rsidR="00425DF6" w:rsidRPr="00DB2795">
        <w:rPr>
          <w:sz w:val="20"/>
          <w:szCs w:val="20"/>
        </w:rPr>
        <w:t>or</w:t>
      </w:r>
      <w:r w:rsidR="00A169B6">
        <w:rPr>
          <w:sz w:val="20"/>
          <w:szCs w:val="20"/>
        </w:rPr>
        <w:t>ganizations operating globally</w:t>
      </w:r>
      <w:r w:rsidR="00425DF6" w:rsidRPr="00DB2795">
        <w:rPr>
          <w:sz w:val="20"/>
          <w:szCs w:val="20"/>
        </w:rPr>
        <w:t xml:space="preserve"> </w:t>
      </w:r>
      <w:r w:rsidR="00C25BDF" w:rsidRPr="00DB2795">
        <w:rPr>
          <w:sz w:val="20"/>
          <w:szCs w:val="20"/>
        </w:rPr>
        <w:t>are Article</w:t>
      </w:r>
      <w:r w:rsidR="00FE5949" w:rsidRPr="00DB2795">
        <w:rPr>
          <w:sz w:val="20"/>
          <w:szCs w:val="20"/>
        </w:rPr>
        <w:t xml:space="preserve"> 19</w:t>
      </w:r>
      <w:r w:rsidR="00B85377" w:rsidRPr="00DB2795">
        <w:rPr>
          <w:sz w:val="20"/>
          <w:szCs w:val="20"/>
        </w:rPr>
        <w:t xml:space="preserve"> and the Media Legal Defence Initiative</w:t>
      </w:r>
      <w:r w:rsidR="00A169B6">
        <w:rPr>
          <w:sz w:val="20"/>
          <w:szCs w:val="20"/>
        </w:rPr>
        <w:t>,</w:t>
      </w:r>
      <w:r w:rsidR="00C25BDF" w:rsidRPr="00DB2795">
        <w:rPr>
          <w:sz w:val="20"/>
          <w:szCs w:val="20"/>
        </w:rPr>
        <w:t xml:space="preserve"> with the </w:t>
      </w:r>
      <w:r w:rsidR="00B05A33" w:rsidRPr="00DB2795">
        <w:rPr>
          <w:sz w:val="20"/>
          <w:szCs w:val="20"/>
        </w:rPr>
        <w:t>former</w:t>
      </w:r>
      <w:r w:rsidR="00C25BDF" w:rsidRPr="00DB2795">
        <w:rPr>
          <w:sz w:val="20"/>
          <w:szCs w:val="20"/>
        </w:rPr>
        <w:t xml:space="preserve"> having focused traditionally on media law reform and MLDI on</w:t>
      </w:r>
      <w:r w:rsidR="006D363E">
        <w:rPr>
          <w:sz w:val="20"/>
          <w:szCs w:val="20"/>
        </w:rPr>
        <w:t xml:space="preserve">ly on </w:t>
      </w:r>
      <w:r w:rsidR="00C25BDF" w:rsidRPr="00DB2795">
        <w:rPr>
          <w:sz w:val="20"/>
          <w:szCs w:val="20"/>
        </w:rPr>
        <w:t>litigation</w:t>
      </w:r>
      <w:r w:rsidR="00BE62CD" w:rsidRPr="00DB2795">
        <w:rPr>
          <w:sz w:val="20"/>
          <w:szCs w:val="20"/>
        </w:rPr>
        <w:t xml:space="preserve">. </w:t>
      </w:r>
      <w:r w:rsidR="00B85377" w:rsidRPr="00DB2795">
        <w:rPr>
          <w:sz w:val="20"/>
          <w:szCs w:val="20"/>
        </w:rPr>
        <w:t>PIJ had supported Article 19 extensively</w:t>
      </w:r>
      <w:r w:rsidR="008B17EC" w:rsidRPr="00DB2795">
        <w:rPr>
          <w:sz w:val="20"/>
          <w:szCs w:val="20"/>
        </w:rPr>
        <w:t xml:space="preserve"> in the </w:t>
      </w:r>
      <w:r w:rsidR="00E031C7" w:rsidRPr="00DB2795">
        <w:rPr>
          <w:sz w:val="20"/>
          <w:szCs w:val="20"/>
        </w:rPr>
        <w:t>1990s to</w:t>
      </w:r>
      <w:r w:rsidR="00B85377" w:rsidRPr="00DB2795">
        <w:rPr>
          <w:sz w:val="20"/>
          <w:szCs w:val="20"/>
        </w:rPr>
        <w:t xml:space="preserve"> establish its “Media Law Analysis Unit” </w:t>
      </w:r>
      <w:r w:rsidR="00E031C7" w:rsidRPr="00DB2795">
        <w:rPr>
          <w:sz w:val="20"/>
          <w:szCs w:val="20"/>
        </w:rPr>
        <w:t>and to</w:t>
      </w:r>
      <w:r w:rsidR="00512F0C" w:rsidRPr="00DB2795">
        <w:rPr>
          <w:sz w:val="20"/>
          <w:szCs w:val="20"/>
        </w:rPr>
        <w:t xml:space="preserve"> providing capacity-building </w:t>
      </w:r>
      <w:r w:rsidR="00E031C7" w:rsidRPr="00DB2795">
        <w:rPr>
          <w:sz w:val="20"/>
          <w:szCs w:val="20"/>
        </w:rPr>
        <w:t xml:space="preserve">to other key partners working on media law reform in the traditional region where the Program was then operating. </w:t>
      </w:r>
      <w:r w:rsidR="000967DA" w:rsidRPr="00DB2795">
        <w:rPr>
          <w:sz w:val="20"/>
          <w:szCs w:val="20"/>
        </w:rPr>
        <w:t xml:space="preserve"> However, th</w:t>
      </w:r>
      <w:r w:rsidR="006C7921" w:rsidRPr="00DB2795">
        <w:rPr>
          <w:sz w:val="20"/>
          <w:szCs w:val="20"/>
        </w:rPr>
        <w:t>e Program discontinued its support in 2005</w:t>
      </w:r>
      <w:r w:rsidR="00B45FEE" w:rsidRPr="00DB2795">
        <w:rPr>
          <w:sz w:val="20"/>
          <w:szCs w:val="20"/>
        </w:rPr>
        <w:t xml:space="preserve">, </w:t>
      </w:r>
      <w:r w:rsidR="008F15EF" w:rsidRPr="00DB2795">
        <w:rPr>
          <w:sz w:val="20"/>
          <w:szCs w:val="20"/>
        </w:rPr>
        <w:t>due to the concern that the</w:t>
      </w:r>
      <w:r w:rsidR="00B45FEE" w:rsidRPr="00DB2795">
        <w:rPr>
          <w:sz w:val="20"/>
          <w:szCs w:val="20"/>
        </w:rPr>
        <w:t xml:space="preserve"> </w:t>
      </w:r>
      <w:r w:rsidR="006C7921" w:rsidRPr="00DB2795">
        <w:rPr>
          <w:sz w:val="20"/>
          <w:szCs w:val="20"/>
        </w:rPr>
        <w:t xml:space="preserve">(then newly appointed) </w:t>
      </w:r>
      <w:r w:rsidR="00AA0051" w:rsidRPr="00DB2795">
        <w:rPr>
          <w:sz w:val="20"/>
          <w:szCs w:val="20"/>
        </w:rPr>
        <w:t xml:space="preserve">director of the organization had shifted significantly the </w:t>
      </w:r>
      <w:r w:rsidR="006C7921" w:rsidRPr="00DB2795">
        <w:rPr>
          <w:sz w:val="20"/>
          <w:szCs w:val="20"/>
        </w:rPr>
        <w:t>organization</w:t>
      </w:r>
      <w:r w:rsidR="00E94069" w:rsidRPr="00DB2795">
        <w:rPr>
          <w:sz w:val="20"/>
          <w:szCs w:val="20"/>
        </w:rPr>
        <w:t>’</w:t>
      </w:r>
      <w:r w:rsidR="006C7921" w:rsidRPr="00DB2795">
        <w:rPr>
          <w:sz w:val="20"/>
          <w:szCs w:val="20"/>
        </w:rPr>
        <w:t xml:space="preserve">s </w:t>
      </w:r>
      <w:r w:rsidR="00B45FEE" w:rsidRPr="00DB2795">
        <w:rPr>
          <w:sz w:val="20"/>
          <w:szCs w:val="20"/>
        </w:rPr>
        <w:t xml:space="preserve">focus </w:t>
      </w:r>
      <w:r w:rsidR="00884404" w:rsidRPr="00DB2795">
        <w:rPr>
          <w:sz w:val="20"/>
          <w:szCs w:val="20"/>
        </w:rPr>
        <w:t>away from core freedom of expression values towards</w:t>
      </w:r>
      <w:r w:rsidR="00B45FEE" w:rsidRPr="00DB2795">
        <w:rPr>
          <w:sz w:val="20"/>
          <w:szCs w:val="20"/>
        </w:rPr>
        <w:t xml:space="preserve"> broader development goals</w:t>
      </w:r>
      <w:r w:rsidR="002878EE" w:rsidRPr="00DB2795">
        <w:rPr>
          <w:sz w:val="20"/>
          <w:szCs w:val="20"/>
        </w:rPr>
        <w:t xml:space="preserve">. </w:t>
      </w:r>
      <w:r w:rsidR="00884404" w:rsidRPr="00DB2795">
        <w:rPr>
          <w:sz w:val="20"/>
          <w:szCs w:val="20"/>
        </w:rPr>
        <w:t>(</w:t>
      </w:r>
      <w:r w:rsidR="00B05A33" w:rsidRPr="00DB2795">
        <w:rPr>
          <w:sz w:val="20"/>
          <w:szCs w:val="20"/>
        </w:rPr>
        <w:t xml:space="preserve">Article 19’s </w:t>
      </w:r>
      <w:r w:rsidR="00C25BDF" w:rsidRPr="00DB2795">
        <w:rPr>
          <w:sz w:val="20"/>
          <w:szCs w:val="20"/>
        </w:rPr>
        <w:t>new director</w:t>
      </w:r>
      <w:r w:rsidR="009E0265" w:rsidRPr="00DB2795">
        <w:rPr>
          <w:sz w:val="20"/>
          <w:szCs w:val="20"/>
        </w:rPr>
        <w:t xml:space="preserve">, appointed in </w:t>
      </w:r>
      <w:r w:rsidR="00884404" w:rsidRPr="00DB2795">
        <w:rPr>
          <w:sz w:val="20"/>
          <w:szCs w:val="20"/>
        </w:rPr>
        <w:t xml:space="preserve">late </w:t>
      </w:r>
      <w:r w:rsidR="009E0265" w:rsidRPr="00DB2795">
        <w:rPr>
          <w:sz w:val="20"/>
          <w:szCs w:val="20"/>
        </w:rPr>
        <w:t>2013</w:t>
      </w:r>
      <w:r w:rsidR="00884404" w:rsidRPr="00DB2795">
        <w:rPr>
          <w:sz w:val="20"/>
          <w:szCs w:val="20"/>
        </w:rPr>
        <w:t>,</w:t>
      </w:r>
      <w:r w:rsidR="009E0265" w:rsidRPr="00DB2795">
        <w:rPr>
          <w:sz w:val="20"/>
          <w:szCs w:val="20"/>
        </w:rPr>
        <w:t xml:space="preserve"> has expressed a strong interest in </w:t>
      </w:r>
      <w:r w:rsidR="00884404" w:rsidRPr="00DB2795">
        <w:rPr>
          <w:sz w:val="20"/>
          <w:szCs w:val="20"/>
        </w:rPr>
        <w:t>re</w:t>
      </w:r>
      <w:r w:rsidR="009E0265" w:rsidRPr="00DB2795">
        <w:rPr>
          <w:sz w:val="20"/>
          <w:szCs w:val="20"/>
        </w:rPr>
        <w:t>focusing on media law reform</w:t>
      </w:r>
      <w:r w:rsidR="0056239F" w:rsidRPr="00DB2795">
        <w:rPr>
          <w:sz w:val="20"/>
          <w:szCs w:val="20"/>
        </w:rPr>
        <w:t>)</w:t>
      </w:r>
      <w:r w:rsidR="00F42D58" w:rsidRPr="00DB2795">
        <w:rPr>
          <w:sz w:val="20"/>
          <w:szCs w:val="20"/>
        </w:rPr>
        <w:t>.</w:t>
      </w:r>
      <w:r w:rsidR="009E0265" w:rsidRPr="00DB2795">
        <w:rPr>
          <w:sz w:val="20"/>
          <w:szCs w:val="20"/>
        </w:rPr>
        <w:t xml:space="preserve">  </w:t>
      </w:r>
      <w:r w:rsidR="00B05A33" w:rsidRPr="00DB2795">
        <w:rPr>
          <w:sz w:val="20"/>
          <w:szCs w:val="20"/>
        </w:rPr>
        <w:t xml:space="preserve"> </w:t>
      </w:r>
      <w:r w:rsidR="00C25BDF" w:rsidRPr="00DB2795">
        <w:rPr>
          <w:sz w:val="20"/>
          <w:szCs w:val="20"/>
        </w:rPr>
        <w:t xml:space="preserve">  </w:t>
      </w:r>
    </w:p>
    <w:p w:rsidR="00D30725" w:rsidRPr="00DB2795" w:rsidRDefault="00C25BDF" w:rsidP="006467DF">
      <w:pPr>
        <w:rPr>
          <w:sz w:val="20"/>
          <w:szCs w:val="20"/>
        </w:rPr>
      </w:pPr>
      <w:r w:rsidRPr="00DB2795">
        <w:rPr>
          <w:sz w:val="20"/>
          <w:szCs w:val="20"/>
        </w:rPr>
        <w:t>Other key players, which the PIJ does not fund</w:t>
      </w:r>
      <w:r w:rsidR="00532AD5" w:rsidRPr="00DB2795">
        <w:rPr>
          <w:sz w:val="20"/>
          <w:szCs w:val="20"/>
        </w:rPr>
        <w:t>,</w:t>
      </w:r>
      <w:r w:rsidRPr="00DB2795">
        <w:rPr>
          <w:sz w:val="20"/>
          <w:szCs w:val="20"/>
        </w:rPr>
        <w:t xml:space="preserve"> include the Center for Law and Democracy (established </w:t>
      </w:r>
      <w:r w:rsidR="00884404" w:rsidRPr="00DB2795">
        <w:rPr>
          <w:sz w:val="20"/>
          <w:szCs w:val="20"/>
        </w:rPr>
        <w:t xml:space="preserve">in 2010 </w:t>
      </w:r>
      <w:r w:rsidRPr="00DB2795">
        <w:rPr>
          <w:sz w:val="20"/>
          <w:szCs w:val="20"/>
        </w:rPr>
        <w:t>by the former head of Article 19’s legal department) and the International Bar Association.</w:t>
      </w:r>
      <w:r w:rsidR="008E76E2" w:rsidRPr="00DB2795">
        <w:rPr>
          <w:sz w:val="20"/>
          <w:szCs w:val="20"/>
        </w:rPr>
        <w:t xml:space="preserve"> Although substantively CLD had considerable expertise, our Board did not feel confident at the time that it would be able to develop into a fully-fledged organisation, and discouraged us from providing funding, seeing it as too risky or short-term for an investment</w:t>
      </w:r>
      <w:r w:rsidR="00A169B6">
        <w:rPr>
          <w:sz w:val="20"/>
          <w:szCs w:val="20"/>
        </w:rPr>
        <w:t xml:space="preserve">. </w:t>
      </w:r>
      <w:r w:rsidR="00EF7EFF" w:rsidRPr="00DB2795">
        <w:rPr>
          <w:sz w:val="20"/>
          <w:szCs w:val="20"/>
        </w:rPr>
        <w:t>While the</w:t>
      </w:r>
      <w:r w:rsidR="006C7921" w:rsidRPr="00DB2795">
        <w:rPr>
          <w:sz w:val="20"/>
          <w:szCs w:val="20"/>
        </w:rPr>
        <w:t xml:space="preserve"> IBA </w:t>
      </w:r>
      <w:r w:rsidR="00EF7EFF" w:rsidRPr="00DB2795">
        <w:rPr>
          <w:sz w:val="20"/>
          <w:szCs w:val="20"/>
        </w:rPr>
        <w:t>operates globally through its</w:t>
      </w:r>
      <w:r w:rsidR="002E0BBB" w:rsidRPr="00DB2795">
        <w:rPr>
          <w:sz w:val="20"/>
          <w:szCs w:val="20"/>
        </w:rPr>
        <w:t xml:space="preserve"> member associations, it often faces the challenge of not being able to comment directly on ongoing cases and having to seek agreement from its (sometimes conservative) members</w:t>
      </w:r>
      <w:r w:rsidR="002878EE" w:rsidRPr="00DB2795">
        <w:rPr>
          <w:sz w:val="20"/>
          <w:szCs w:val="20"/>
        </w:rPr>
        <w:t xml:space="preserve"> </w:t>
      </w:r>
      <w:r w:rsidR="002E0BBB" w:rsidRPr="00DB2795">
        <w:rPr>
          <w:sz w:val="20"/>
          <w:szCs w:val="20"/>
        </w:rPr>
        <w:t>in countries where it operates.</w:t>
      </w:r>
      <w:r w:rsidR="002A0174" w:rsidRPr="00DB2795">
        <w:rPr>
          <w:sz w:val="20"/>
          <w:szCs w:val="20"/>
        </w:rPr>
        <w:t xml:space="preserve"> </w:t>
      </w:r>
    </w:p>
    <w:p w:rsidR="002A0174" w:rsidRPr="00DB2795" w:rsidRDefault="00884404" w:rsidP="006467DF">
      <w:pPr>
        <w:rPr>
          <w:sz w:val="20"/>
          <w:szCs w:val="20"/>
        </w:rPr>
      </w:pPr>
      <w:r w:rsidRPr="00DB2795">
        <w:rPr>
          <w:sz w:val="20"/>
          <w:szCs w:val="20"/>
        </w:rPr>
        <w:t>MLD</w:t>
      </w:r>
      <w:r w:rsidR="00F42D58" w:rsidRPr="00DB2795">
        <w:rPr>
          <w:sz w:val="20"/>
          <w:szCs w:val="20"/>
        </w:rPr>
        <w:t>I</w:t>
      </w:r>
      <w:r w:rsidR="006D363E">
        <w:rPr>
          <w:sz w:val="20"/>
          <w:szCs w:val="20"/>
        </w:rPr>
        <w:t>,</w:t>
      </w:r>
      <w:r w:rsidR="00F42D58" w:rsidRPr="00DB2795">
        <w:rPr>
          <w:sz w:val="20"/>
          <w:szCs w:val="20"/>
        </w:rPr>
        <w:t xml:space="preserve"> </w:t>
      </w:r>
      <w:r w:rsidR="00EF7EFF" w:rsidRPr="00DB2795">
        <w:rPr>
          <w:sz w:val="20"/>
          <w:szCs w:val="20"/>
        </w:rPr>
        <w:t xml:space="preserve">the Program’s spin-off </w:t>
      </w:r>
      <w:r w:rsidRPr="00DB2795">
        <w:rPr>
          <w:sz w:val="20"/>
          <w:szCs w:val="20"/>
        </w:rPr>
        <w:t>–</w:t>
      </w:r>
      <w:r w:rsidR="009E0265" w:rsidRPr="00DB2795">
        <w:rPr>
          <w:sz w:val="20"/>
          <w:szCs w:val="20"/>
        </w:rPr>
        <w:t xml:space="preserve"> has become</w:t>
      </w:r>
      <w:r w:rsidR="00EF7EFF" w:rsidRPr="00DB2795">
        <w:rPr>
          <w:sz w:val="20"/>
          <w:szCs w:val="20"/>
        </w:rPr>
        <w:t xml:space="preserve"> a significant leader</w:t>
      </w:r>
      <w:r w:rsidR="00BE62CD" w:rsidRPr="00DB2795">
        <w:rPr>
          <w:sz w:val="20"/>
          <w:szCs w:val="20"/>
        </w:rPr>
        <w:t xml:space="preserve"> </w:t>
      </w:r>
      <w:r w:rsidR="00834687" w:rsidRPr="00DB2795">
        <w:rPr>
          <w:sz w:val="20"/>
          <w:szCs w:val="20"/>
        </w:rPr>
        <w:t>in supporting</w:t>
      </w:r>
      <w:r w:rsidR="00BE62CD" w:rsidRPr="00DB2795">
        <w:rPr>
          <w:sz w:val="20"/>
          <w:szCs w:val="20"/>
        </w:rPr>
        <w:t xml:space="preserve"> litigation and</w:t>
      </w:r>
      <w:r w:rsidR="00117DBB" w:rsidRPr="00DB2795">
        <w:rPr>
          <w:sz w:val="20"/>
          <w:szCs w:val="20"/>
        </w:rPr>
        <w:t xml:space="preserve"> capacity-building </w:t>
      </w:r>
      <w:r w:rsidR="00834687" w:rsidRPr="00DB2795">
        <w:rPr>
          <w:sz w:val="20"/>
          <w:szCs w:val="20"/>
        </w:rPr>
        <w:t>training for</w:t>
      </w:r>
      <w:r w:rsidR="00117DBB" w:rsidRPr="00DB2795">
        <w:rPr>
          <w:sz w:val="20"/>
          <w:szCs w:val="20"/>
        </w:rPr>
        <w:t xml:space="preserve"> lawyers defending </w:t>
      </w:r>
      <w:r w:rsidR="00BE62CD" w:rsidRPr="00DB2795">
        <w:rPr>
          <w:sz w:val="20"/>
          <w:szCs w:val="20"/>
        </w:rPr>
        <w:t>journalists</w:t>
      </w:r>
      <w:r w:rsidR="009E0265" w:rsidRPr="00DB2795">
        <w:rPr>
          <w:sz w:val="20"/>
          <w:szCs w:val="20"/>
        </w:rPr>
        <w:t>, with a 70% success record</w:t>
      </w:r>
      <w:r w:rsidR="00E77216" w:rsidRPr="00DB2795">
        <w:rPr>
          <w:sz w:val="20"/>
          <w:szCs w:val="20"/>
        </w:rPr>
        <w:t xml:space="preserve"> in defending </w:t>
      </w:r>
      <w:r w:rsidR="00693DA9" w:rsidRPr="00DB2795">
        <w:rPr>
          <w:sz w:val="20"/>
          <w:szCs w:val="20"/>
        </w:rPr>
        <w:t xml:space="preserve">close to 100 cases a year, </w:t>
      </w:r>
      <w:r w:rsidR="00E77216" w:rsidRPr="00DB2795">
        <w:rPr>
          <w:sz w:val="20"/>
          <w:szCs w:val="20"/>
        </w:rPr>
        <w:t>according to its most recent annual report</w:t>
      </w:r>
      <w:r w:rsidR="00F42D58" w:rsidRPr="00DB2795">
        <w:rPr>
          <w:sz w:val="20"/>
          <w:szCs w:val="20"/>
        </w:rPr>
        <w:t xml:space="preserve"> covering 2013</w:t>
      </w:r>
      <w:r w:rsidR="00E77216" w:rsidRPr="00DB2795">
        <w:rPr>
          <w:sz w:val="20"/>
          <w:szCs w:val="20"/>
        </w:rPr>
        <w:t xml:space="preserve">.  </w:t>
      </w:r>
      <w:r w:rsidR="000D3E2B" w:rsidRPr="00DB2795">
        <w:rPr>
          <w:sz w:val="20"/>
          <w:szCs w:val="20"/>
        </w:rPr>
        <w:t xml:space="preserve">Regional media lawyers’ </w:t>
      </w:r>
      <w:r w:rsidR="00782812" w:rsidRPr="00DB2795">
        <w:rPr>
          <w:sz w:val="20"/>
          <w:szCs w:val="20"/>
        </w:rPr>
        <w:t xml:space="preserve">networks </w:t>
      </w:r>
      <w:r w:rsidR="007A64E4" w:rsidRPr="00DB2795">
        <w:rPr>
          <w:sz w:val="20"/>
          <w:szCs w:val="20"/>
        </w:rPr>
        <w:t>where they exist play an</w:t>
      </w:r>
      <w:r w:rsidR="000D3E2B" w:rsidRPr="00DB2795">
        <w:rPr>
          <w:sz w:val="20"/>
          <w:szCs w:val="20"/>
        </w:rPr>
        <w:t xml:space="preserve"> important role in defending journalists in the form</w:t>
      </w:r>
      <w:r w:rsidR="00782812" w:rsidRPr="00DB2795">
        <w:rPr>
          <w:sz w:val="20"/>
          <w:szCs w:val="20"/>
        </w:rPr>
        <w:t xml:space="preserve">er CIS and in Southern Africa, </w:t>
      </w:r>
      <w:r w:rsidR="000D3E2B" w:rsidRPr="00DB2795">
        <w:rPr>
          <w:sz w:val="20"/>
          <w:szCs w:val="20"/>
        </w:rPr>
        <w:t xml:space="preserve">and in Southeast Asia, </w:t>
      </w:r>
      <w:r w:rsidR="00782812" w:rsidRPr="00DB2795">
        <w:rPr>
          <w:sz w:val="20"/>
          <w:szCs w:val="20"/>
        </w:rPr>
        <w:t>although the future of the latter is unclear due to recent disputes among the staff.</w:t>
      </w:r>
      <w:r w:rsidR="000D3E2B" w:rsidRPr="00DB2795">
        <w:rPr>
          <w:sz w:val="20"/>
          <w:szCs w:val="20"/>
        </w:rPr>
        <w:t xml:space="preserve">  </w:t>
      </w:r>
      <w:r w:rsidR="00F44279" w:rsidRPr="00DB2795">
        <w:rPr>
          <w:sz w:val="20"/>
          <w:szCs w:val="20"/>
        </w:rPr>
        <w:t>However, attempts to formalize networks of media lawyers in some regions, such as Africa, have been problematic due to the limited funding available for such work and the fact that few lawyers are able to dedicate substantial time and effort to focusing only on media cases alone.</w:t>
      </w:r>
    </w:p>
    <w:p w:rsidR="00D30725" w:rsidRPr="00DB2795" w:rsidRDefault="00971A71" w:rsidP="006467DF">
      <w:pPr>
        <w:rPr>
          <w:sz w:val="20"/>
          <w:szCs w:val="20"/>
        </w:rPr>
      </w:pPr>
      <w:r w:rsidRPr="00DB2795">
        <w:rPr>
          <w:sz w:val="20"/>
          <w:szCs w:val="20"/>
        </w:rPr>
        <w:t xml:space="preserve">Given the strategic decision we took to focus on international standard-setting, </w:t>
      </w:r>
      <w:r w:rsidR="008822C2" w:rsidRPr="00DB2795">
        <w:rPr>
          <w:sz w:val="20"/>
          <w:szCs w:val="20"/>
        </w:rPr>
        <w:t xml:space="preserve">the </w:t>
      </w:r>
      <w:r w:rsidR="000833BB" w:rsidRPr="00DB2795">
        <w:rPr>
          <w:sz w:val="20"/>
          <w:szCs w:val="20"/>
        </w:rPr>
        <w:t>role</w:t>
      </w:r>
      <w:r w:rsidR="008822C2" w:rsidRPr="00DB2795">
        <w:rPr>
          <w:sz w:val="20"/>
          <w:szCs w:val="20"/>
        </w:rPr>
        <w:t>s</w:t>
      </w:r>
      <w:r w:rsidR="000833BB" w:rsidRPr="00DB2795">
        <w:rPr>
          <w:sz w:val="20"/>
          <w:szCs w:val="20"/>
        </w:rPr>
        <w:t xml:space="preserve"> </w:t>
      </w:r>
      <w:r w:rsidR="00EC6686" w:rsidRPr="00DB2795">
        <w:rPr>
          <w:sz w:val="20"/>
          <w:szCs w:val="20"/>
        </w:rPr>
        <w:t xml:space="preserve">that the </w:t>
      </w:r>
      <w:r w:rsidR="009E397E" w:rsidRPr="00DB2795">
        <w:rPr>
          <w:sz w:val="20"/>
          <w:szCs w:val="20"/>
        </w:rPr>
        <w:t xml:space="preserve">current </w:t>
      </w:r>
      <w:r w:rsidR="00D30725" w:rsidRPr="00DB2795">
        <w:rPr>
          <w:sz w:val="20"/>
          <w:szCs w:val="20"/>
        </w:rPr>
        <w:t>Special Rapporteurs on freedom of expression</w:t>
      </w:r>
      <w:r w:rsidR="008822C2" w:rsidRPr="00DB2795">
        <w:rPr>
          <w:sz w:val="20"/>
          <w:szCs w:val="20"/>
        </w:rPr>
        <w:t xml:space="preserve"> play</w:t>
      </w:r>
      <w:r w:rsidR="00CF164C" w:rsidRPr="00DB2795">
        <w:rPr>
          <w:sz w:val="20"/>
          <w:szCs w:val="20"/>
        </w:rPr>
        <w:t xml:space="preserve">, at the UN </w:t>
      </w:r>
      <w:r w:rsidR="00EC6686" w:rsidRPr="00DB2795">
        <w:rPr>
          <w:sz w:val="20"/>
          <w:szCs w:val="20"/>
        </w:rPr>
        <w:t xml:space="preserve"> and </w:t>
      </w:r>
      <w:r w:rsidR="00CF164C" w:rsidRPr="00DB2795">
        <w:rPr>
          <w:sz w:val="20"/>
          <w:szCs w:val="20"/>
        </w:rPr>
        <w:t>with the respective regional mandates in</w:t>
      </w:r>
      <w:r w:rsidR="00D30725" w:rsidRPr="00DB2795">
        <w:rPr>
          <w:sz w:val="20"/>
          <w:szCs w:val="20"/>
        </w:rPr>
        <w:t xml:space="preserve"> Eu</w:t>
      </w:r>
      <w:r w:rsidR="000833BB" w:rsidRPr="00DB2795">
        <w:rPr>
          <w:sz w:val="20"/>
          <w:szCs w:val="20"/>
        </w:rPr>
        <w:t>rope, Africa and Latin America</w:t>
      </w:r>
      <w:r w:rsidR="008822C2" w:rsidRPr="00DB2795">
        <w:rPr>
          <w:sz w:val="20"/>
          <w:szCs w:val="20"/>
        </w:rPr>
        <w:t>,</w:t>
      </w:r>
      <w:r w:rsidR="00CF164C" w:rsidRPr="00DB2795">
        <w:rPr>
          <w:sz w:val="20"/>
          <w:szCs w:val="20"/>
        </w:rPr>
        <w:t xml:space="preserve"> </w:t>
      </w:r>
      <w:r w:rsidR="008822C2" w:rsidRPr="00DB2795">
        <w:rPr>
          <w:sz w:val="20"/>
          <w:szCs w:val="20"/>
        </w:rPr>
        <w:t xml:space="preserve">should not </w:t>
      </w:r>
      <w:r w:rsidR="00CF164C" w:rsidRPr="00DB2795">
        <w:rPr>
          <w:sz w:val="20"/>
          <w:szCs w:val="20"/>
        </w:rPr>
        <w:t xml:space="preserve">be underestimated, particularly </w:t>
      </w:r>
      <w:r w:rsidR="00653122" w:rsidRPr="00DB2795">
        <w:rPr>
          <w:sz w:val="20"/>
          <w:szCs w:val="20"/>
        </w:rPr>
        <w:t>regarding</w:t>
      </w:r>
      <w:r w:rsidR="00BC02B8" w:rsidRPr="00DB2795">
        <w:rPr>
          <w:sz w:val="20"/>
          <w:szCs w:val="20"/>
        </w:rPr>
        <w:t xml:space="preserve"> </w:t>
      </w:r>
      <w:r w:rsidR="00F42D58" w:rsidRPr="00DB2795">
        <w:rPr>
          <w:sz w:val="20"/>
          <w:szCs w:val="20"/>
        </w:rPr>
        <w:t>their ability to establish im</w:t>
      </w:r>
      <w:r w:rsidR="00CF164C" w:rsidRPr="00DB2795">
        <w:rPr>
          <w:sz w:val="20"/>
          <w:szCs w:val="20"/>
        </w:rPr>
        <w:t xml:space="preserve">portant standards on key </w:t>
      </w:r>
      <w:r w:rsidR="00BC02B8" w:rsidRPr="00DB2795">
        <w:rPr>
          <w:sz w:val="20"/>
          <w:szCs w:val="20"/>
        </w:rPr>
        <w:t>freedom of expression issues</w:t>
      </w:r>
      <w:r w:rsidR="00CF164C" w:rsidRPr="00DB2795">
        <w:rPr>
          <w:sz w:val="20"/>
          <w:szCs w:val="20"/>
        </w:rPr>
        <w:t xml:space="preserve"> ranging from journalists’</w:t>
      </w:r>
      <w:r w:rsidR="00542264" w:rsidRPr="00DB2795">
        <w:rPr>
          <w:sz w:val="20"/>
          <w:szCs w:val="20"/>
        </w:rPr>
        <w:t xml:space="preserve"> protection to Internet freedom and surveillance</w:t>
      </w:r>
      <w:r w:rsidR="00F42D58" w:rsidRPr="00DB2795">
        <w:rPr>
          <w:sz w:val="20"/>
          <w:szCs w:val="20"/>
        </w:rPr>
        <w:t>, although criticism about the effectiveness of their engagement, particularly at the UN level, are noted below</w:t>
      </w:r>
      <w:r w:rsidR="00653122" w:rsidRPr="00DB2795">
        <w:rPr>
          <w:sz w:val="20"/>
          <w:szCs w:val="20"/>
        </w:rPr>
        <w:t>.</w:t>
      </w:r>
      <w:r w:rsidR="00EC6686" w:rsidRPr="00DB2795">
        <w:rPr>
          <w:sz w:val="20"/>
          <w:szCs w:val="20"/>
        </w:rPr>
        <w:t xml:space="preserve"> </w:t>
      </w:r>
    </w:p>
    <w:p w:rsidR="009A7B7B" w:rsidRPr="00DB2795" w:rsidRDefault="005B16B5" w:rsidP="006467DF">
      <w:pPr>
        <w:rPr>
          <w:sz w:val="20"/>
          <w:szCs w:val="20"/>
        </w:rPr>
      </w:pPr>
      <w:r w:rsidRPr="00DB2795">
        <w:rPr>
          <w:sz w:val="20"/>
          <w:szCs w:val="20"/>
        </w:rPr>
        <w:t xml:space="preserve">Increasingly, </w:t>
      </w:r>
      <w:r w:rsidR="00542264" w:rsidRPr="00DB2795">
        <w:rPr>
          <w:sz w:val="20"/>
          <w:szCs w:val="20"/>
        </w:rPr>
        <w:t xml:space="preserve">academic institutions </w:t>
      </w:r>
      <w:r w:rsidR="00532AD5" w:rsidRPr="00DB2795">
        <w:rPr>
          <w:sz w:val="20"/>
          <w:szCs w:val="20"/>
        </w:rPr>
        <w:t xml:space="preserve">such as Central European University and Hong Kong University </w:t>
      </w:r>
      <w:r w:rsidR="00542264" w:rsidRPr="00DB2795">
        <w:rPr>
          <w:sz w:val="20"/>
          <w:szCs w:val="20"/>
        </w:rPr>
        <w:t xml:space="preserve">are playing </w:t>
      </w:r>
      <w:r w:rsidR="00357DD5" w:rsidRPr="00DB2795">
        <w:rPr>
          <w:sz w:val="20"/>
          <w:szCs w:val="20"/>
        </w:rPr>
        <w:t>a key</w:t>
      </w:r>
      <w:r w:rsidR="00542264" w:rsidRPr="00DB2795">
        <w:rPr>
          <w:sz w:val="20"/>
          <w:szCs w:val="20"/>
        </w:rPr>
        <w:t xml:space="preserve"> role </w:t>
      </w:r>
      <w:r w:rsidR="00357DD5" w:rsidRPr="00DB2795">
        <w:rPr>
          <w:sz w:val="20"/>
          <w:szCs w:val="20"/>
        </w:rPr>
        <w:t>by holding specialized courses in</w:t>
      </w:r>
      <w:r w:rsidR="00542264" w:rsidRPr="00DB2795">
        <w:rPr>
          <w:sz w:val="20"/>
          <w:szCs w:val="20"/>
        </w:rPr>
        <w:t xml:space="preserve"> media </w:t>
      </w:r>
      <w:r w:rsidR="00357DD5" w:rsidRPr="00DB2795">
        <w:rPr>
          <w:sz w:val="20"/>
          <w:szCs w:val="20"/>
        </w:rPr>
        <w:t>law and regulation for lawyers and experts. According the instructors of these trainings most of these participants remain in touch after these events and have developed their own informal networks, se</w:t>
      </w:r>
      <w:r w:rsidR="00DD0F4B" w:rsidRPr="00DB2795">
        <w:rPr>
          <w:sz w:val="20"/>
          <w:szCs w:val="20"/>
        </w:rPr>
        <w:t xml:space="preserve">eking advice from each other </w:t>
      </w:r>
      <w:r w:rsidR="00A169B6">
        <w:rPr>
          <w:sz w:val="20"/>
          <w:szCs w:val="20"/>
        </w:rPr>
        <w:t xml:space="preserve">on </w:t>
      </w:r>
      <w:r w:rsidR="00DD0F4B" w:rsidRPr="00DB2795">
        <w:rPr>
          <w:sz w:val="20"/>
          <w:szCs w:val="20"/>
        </w:rPr>
        <w:t>issues of relevance for their work.</w:t>
      </w:r>
      <w:r w:rsidR="00357DD5" w:rsidRPr="00DB2795">
        <w:rPr>
          <w:sz w:val="20"/>
          <w:szCs w:val="20"/>
        </w:rPr>
        <w:t xml:space="preserve">  </w:t>
      </w:r>
    </w:p>
    <w:p w:rsidR="00CA3C60" w:rsidRPr="00DB2795" w:rsidRDefault="00D24840" w:rsidP="009A7B7B">
      <w:pPr>
        <w:pStyle w:val="Heading4"/>
        <w:rPr>
          <w:sz w:val="20"/>
          <w:szCs w:val="20"/>
        </w:rPr>
      </w:pPr>
      <w:r w:rsidRPr="00DB2795">
        <w:rPr>
          <w:sz w:val="20"/>
          <w:szCs w:val="20"/>
        </w:rPr>
        <w:t>IV</w:t>
      </w:r>
      <w:r w:rsidR="000C362D" w:rsidRPr="00DB2795">
        <w:rPr>
          <w:sz w:val="20"/>
          <w:szCs w:val="20"/>
        </w:rPr>
        <w:t xml:space="preserve">. </w:t>
      </w:r>
      <w:r w:rsidR="00693DA9" w:rsidRPr="00DB2795">
        <w:rPr>
          <w:sz w:val="20"/>
          <w:szCs w:val="20"/>
        </w:rPr>
        <w:t xml:space="preserve">Assessment of Freedom of Expression Grants </w:t>
      </w:r>
    </w:p>
    <w:p w:rsidR="008E76E2" w:rsidRPr="008E76E2" w:rsidRDefault="008E76E2" w:rsidP="008E76E2">
      <w:pPr>
        <w:rPr>
          <w:rFonts w:ascii="Calibri" w:eastAsia="Calibri" w:hAnsi="Calibri" w:cs="Times New Roman"/>
          <w:sz w:val="20"/>
          <w:szCs w:val="20"/>
        </w:rPr>
      </w:pPr>
      <w:r w:rsidRPr="008E76E2">
        <w:rPr>
          <w:rFonts w:ascii="Calibri" w:eastAsia="Calibri" w:hAnsi="Calibri" w:cs="Times New Roman"/>
          <w:sz w:val="20"/>
          <w:szCs w:val="20"/>
          <w:lang w:val="en-US"/>
        </w:rPr>
        <w:t xml:space="preserve">We have divided our analysis of the grants according to the four main sub-themes noted in the beginning of the document, including: 1) </w:t>
      </w:r>
      <w:r w:rsidRPr="008E76E2">
        <w:rPr>
          <w:rFonts w:ascii="Calibri" w:eastAsia="Calibri" w:hAnsi="Calibri" w:cs="Times New Roman"/>
          <w:sz w:val="20"/>
          <w:szCs w:val="20"/>
        </w:rPr>
        <w:t>legal standard-setting with inter-governmental organizations; 2) safety and protection mechanisms for journalists 3) legal defence and litigation support for journalists and media outlets; and 4) media law reform and research.</w:t>
      </w:r>
    </w:p>
    <w:p w:rsidR="008E76E2" w:rsidRPr="008E76E2" w:rsidRDefault="008E76E2" w:rsidP="008E76E2">
      <w:pPr>
        <w:rPr>
          <w:rFonts w:ascii="Calibri" w:eastAsia="Calibri" w:hAnsi="Calibri" w:cs="Times New Roman"/>
          <w:sz w:val="20"/>
          <w:szCs w:val="20"/>
        </w:rPr>
      </w:pPr>
      <w:r w:rsidRPr="008E76E2">
        <w:rPr>
          <w:rFonts w:ascii="Calibri" w:eastAsia="Calibri" w:hAnsi="Calibri" w:cs="Times New Roman"/>
          <w:sz w:val="20"/>
          <w:szCs w:val="20"/>
        </w:rPr>
        <w:t xml:space="preserve">We have also tried to address a number of key questions where relevant, including: 1)how has our assistance helped to build and strengthen the field of </w:t>
      </w:r>
      <w:r w:rsidR="00C7637E" w:rsidRPr="008E76E2">
        <w:rPr>
          <w:rFonts w:ascii="Calibri" w:eastAsia="Calibri" w:hAnsi="Calibri" w:cs="Times New Roman"/>
          <w:sz w:val="20"/>
          <w:szCs w:val="20"/>
        </w:rPr>
        <w:t>organizations</w:t>
      </w:r>
      <w:r w:rsidR="00C7637E" w:rsidRPr="00DB2795">
        <w:rPr>
          <w:rFonts w:ascii="Calibri" w:eastAsia="Calibri" w:hAnsi="Calibri" w:cs="Times New Roman"/>
          <w:sz w:val="20"/>
          <w:szCs w:val="20"/>
        </w:rPr>
        <w:t xml:space="preserve"> and networks</w:t>
      </w:r>
      <w:r w:rsidRPr="008E76E2">
        <w:rPr>
          <w:rFonts w:ascii="Calibri" w:eastAsia="Calibri" w:hAnsi="Calibri" w:cs="Times New Roman"/>
          <w:sz w:val="20"/>
          <w:szCs w:val="20"/>
        </w:rPr>
        <w:t>; 2)whether standard-setting efforts have actually helped to address the key challenges to freedom of expression (on defamation reform, countering “hate speech,” Internet freedom and protecting journalists); 3)whether these initiatives</w:t>
      </w:r>
      <w:r w:rsidRPr="008E76E2">
        <w:rPr>
          <w:rFonts w:ascii="Calibri" w:eastAsia="Calibri" w:hAnsi="Calibri" w:cs="Times New Roman"/>
          <w:sz w:val="20"/>
          <w:szCs w:val="20"/>
          <w:lang w:val="en-US"/>
        </w:rPr>
        <w:t xml:space="preserve"> </w:t>
      </w:r>
      <w:r w:rsidR="00EF1E95">
        <w:rPr>
          <w:rFonts w:ascii="Calibri" w:eastAsia="Calibri" w:hAnsi="Calibri" w:cs="Times New Roman"/>
          <w:sz w:val="20"/>
          <w:szCs w:val="20"/>
          <w:lang w:val="en-US"/>
        </w:rPr>
        <w:t xml:space="preserve">are </w:t>
      </w:r>
      <w:r w:rsidRPr="008E76E2">
        <w:rPr>
          <w:rFonts w:ascii="Calibri" w:eastAsia="Calibri" w:hAnsi="Calibri" w:cs="Times New Roman"/>
          <w:sz w:val="20"/>
          <w:szCs w:val="20"/>
          <w:lang w:val="en-US"/>
        </w:rPr>
        <w:t xml:space="preserve">addressing new challenges arising from the Internet and other technological advancements?; 4) has our support improved the legal environment for journalists?; and 5) could the </w:t>
      </w:r>
      <w:r w:rsidRPr="008E76E2">
        <w:rPr>
          <w:rFonts w:ascii="Calibri" w:eastAsia="Calibri" w:hAnsi="Calibri" w:cs="Times New Roman"/>
          <w:sz w:val="20"/>
          <w:szCs w:val="20"/>
        </w:rPr>
        <w:t xml:space="preserve">framework of “fields” and “concepts” be applied retroactively, and what would doing so tell us about our future work?  </w:t>
      </w:r>
    </w:p>
    <w:p w:rsidR="002C75E0" w:rsidRDefault="006C672E" w:rsidP="00D24FED">
      <w:pPr>
        <w:pStyle w:val="Heading5"/>
        <w:numPr>
          <w:ilvl w:val="0"/>
          <w:numId w:val="23"/>
        </w:numPr>
        <w:rPr>
          <w:sz w:val="20"/>
          <w:szCs w:val="20"/>
        </w:rPr>
      </w:pPr>
      <w:r w:rsidRPr="00DB2795">
        <w:rPr>
          <w:sz w:val="20"/>
          <w:szCs w:val="20"/>
        </w:rPr>
        <w:t>Legal s</w:t>
      </w:r>
      <w:r w:rsidR="002C75E0" w:rsidRPr="00DB2795">
        <w:rPr>
          <w:sz w:val="20"/>
          <w:szCs w:val="20"/>
        </w:rPr>
        <w:t>tandard-setting with Inter-Governmental Organizations</w:t>
      </w:r>
    </w:p>
    <w:p w:rsidR="00D24840" w:rsidRPr="00DB2795" w:rsidRDefault="00D24840" w:rsidP="006D363E">
      <w:pPr>
        <w:pBdr>
          <w:top w:val="single" w:sz="4" w:space="1" w:color="auto"/>
          <w:left w:val="single" w:sz="4" w:space="4" w:color="auto"/>
          <w:bottom w:val="single" w:sz="4" w:space="1" w:color="auto"/>
          <w:right w:val="single" w:sz="4" w:space="4" w:color="auto"/>
        </w:pBdr>
        <w:rPr>
          <w:b/>
          <w:sz w:val="20"/>
          <w:szCs w:val="20"/>
        </w:rPr>
      </w:pPr>
      <w:r w:rsidRPr="00DB2795">
        <w:rPr>
          <w:b/>
          <w:sz w:val="20"/>
          <w:szCs w:val="20"/>
        </w:rPr>
        <w:t xml:space="preserve">Grantees: </w:t>
      </w:r>
      <w:r w:rsidR="00774FFB" w:rsidRPr="00DB2795">
        <w:rPr>
          <w:b/>
          <w:sz w:val="20"/>
          <w:szCs w:val="20"/>
        </w:rPr>
        <w:tab/>
      </w:r>
      <w:r w:rsidR="00774FFB" w:rsidRPr="00DB2795">
        <w:rPr>
          <w:b/>
          <w:sz w:val="20"/>
          <w:szCs w:val="20"/>
        </w:rPr>
        <w:tab/>
      </w:r>
      <w:r w:rsidRPr="00DB2795">
        <w:rPr>
          <w:b/>
          <w:sz w:val="20"/>
          <w:szCs w:val="20"/>
        </w:rPr>
        <w:t xml:space="preserve">Demos Institute, Trust for the Americas, University of Pretoria, </w:t>
      </w:r>
      <w:r w:rsidR="006D363E">
        <w:rPr>
          <w:b/>
          <w:sz w:val="20"/>
          <w:szCs w:val="20"/>
        </w:rPr>
        <w:t xml:space="preserve"> </w:t>
      </w:r>
      <w:r w:rsidRPr="00DB2795">
        <w:rPr>
          <w:b/>
          <w:sz w:val="20"/>
          <w:szCs w:val="20"/>
        </w:rPr>
        <w:t xml:space="preserve">PACE </w:t>
      </w:r>
      <w:r w:rsidR="006D363E">
        <w:rPr>
          <w:b/>
          <w:sz w:val="20"/>
          <w:szCs w:val="20"/>
        </w:rPr>
        <w:br/>
      </w:r>
      <w:r w:rsidRPr="00DB2795">
        <w:rPr>
          <w:b/>
          <w:sz w:val="20"/>
          <w:szCs w:val="20"/>
        </w:rPr>
        <w:t xml:space="preserve">Total funding: </w:t>
      </w:r>
      <w:r w:rsidR="00774FFB" w:rsidRPr="00DB2795">
        <w:rPr>
          <w:b/>
          <w:sz w:val="20"/>
          <w:szCs w:val="20"/>
        </w:rPr>
        <w:tab/>
      </w:r>
      <w:r w:rsidR="00774FFB" w:rsidRPr="00DB2795">
        <w:rPr>
          <w:b/>
          <w:sz w:val="20"/>
          <w:szCs w:val="20"/>
        </w:rPr>
        <w:tab/>
      </w:r>
      <w:r w:rsidR="00725D6B" w:rsidRPr="00DB2795">
        <w:rPr>
          <w:b/>
          <w:sz w:val="20"/>
          <w:szCs w:val="20"/>
        </w:rPr>
        <w:t>$484,096</w:t>
      </w:r>
    </w:p>
    <w:p w:rsidR="000C362D" w:rsidRPr="00DB2795" w:rsidRDefault="00CA7A34" w:rsidP="006467DF">
      <w:pPr>
        <w:rPr>
          <w:sz w:val="20"/>
          <w:szCs w:val="20"/>
        </w:rPr>
      </w:pPr>
      <w:r w:rsidRPr="00DB2795">
        <w:rPr>
          <w:sz w:val="20"/>
          <w:szCs w:val="20"/>
        </w:rPr>
        <w:t xml:space="preserve">The Program has actively supported </w:t>
      </w:r>
      <w:r w:rsidR="006C538C" w:rsidRPr="00DB2795">
        <w:rPr>
          <w:sz w:val="20"/>
          <w:szCs w:val="20"/>
        </w:rPr>
        <w:t xml:space="preserve">increased civil society engagement </w:t>
      </w:r>
      <w:r w:rsidR="008D7F0F" w:rsidRPr="00DB2795">
        <w:rPr>
          <w:sz w:val="20"/>
          <w:szCs w:val="20"/>
        </w:rPr>
        <w:t xml:space="preserve">in </w:t>
      </w:r>
      <w:r w:rsidR="006C538C" w:rsidRPr="00DB2795">
        <w:rPr>
          <w:sz w:val="20"/>
          <w:szCs w:val="20"/>
        </w:rPr>
        <w:t>standard-se</w:t>
      </w:r>
      <w:r w:rsidR="008D7F0F" w:rsidRPr="00DB2795">
        <w:rPr>
          <w:sz w:val="20"/>
          <w:szCs w:val="20"/>
        </w:rPr>
        <w:t>t</w:t>
      </w:r>
      <w:r w:rsidR="006C538C" w:rsidRPr="00DB2795">
        <w:rPr>
          <w:sz w:val="20"/>
          <w:szCs w:val="20"/>
        </w:rPr>
        <w:t xml:space="preserve">ting with the </w:t>
      </w:r>
      <w:r w:rsidR="00BC02B8" w:rsidRPr="00DB2795">
        <w:rPr>
          <w:sz w:val="20"/>
          <w:szCs w:val="20"/>
        </w:rPr>
        <w:t xml:space="preserve">three Special Rapporteurs on </w:t>
      </w:r>
      <w:r w:rsidR="00087CCB" w:rsidRPr="00DB2795">
        <w:rPr>
          <w:sz w:val="20"/>
          <w:szCs w:val="20"/>
        </w:rPr>
        <w:t>F</w:t>
      </w:r>
      <w:r w:rsidRPr="00DB2795">
        <w:rPr>
          <w:sz w:val="20"/>
          <w:szCs w:val="20"/>
        </w:rPr>
        <w:t xml:space="preserve">reedom </w:t>
      </w:r>
      <w:r w:rsidR="00BC02B8" w:rsidRPr="00DB2795">
        <w:rPr>
          <w:sz w:val="20"/>
          <w:szCs w:val="20"/>
        </w:rPr>
        <w:t>of Expression (from the United Nations, the Inter-American Commission on Human Rights, and the African Union</w:t>
      </w:r>
      <w:r w:rsidR="002878EE" w:rsidRPr="00DB2795">
        <w:rPr>
          <w:sz w:val="20"/>
          <w:szCs w:val="20"/>
        </w:rPr>
        <w:t xml:space="preserve">) </w:t>
      </w:r>
      <w:r w:rsidR="00181573" w:rsidRPr="00DB2795">
        <w:rPr>
          <w:sz w:val="20"/>
          <w:szCs w:val="20"/>
        </w:rPr>
        <w:t>on a number of key issues, which have been</w:t>
      </w:r>
      <w:r w:rsidR="001A6256" w:rsidRPr="00DB2795">
        <w:rPr>
          <w:sz w:val="20"/>
          <w:szCs w:val="20"/>
        </w:rPr>
        <w:t xml:space="preserve"> negotiated jointly between PIJ and the respective </w:t>
      </w:r>
      <w:r w:rsidR="00E234C1" w:rsidRPr="00DB2795">
        <w:rPr>
          <w:sz w:val="20"/>
          <w:szCs w:val="20"/>
        </w:rPr>
        <w:t>Rapporteurs</w:t>
      </w:r>
      <w:r w:rsidR="005B67FF" w:rsidRPr="00DB2795">
        <w:rPr>
          <w:sz w:val="20"/>
          <w:szCs w:val="20"/>
        </w:rPr>
        <w:t xml:space="preserve">. </w:t>
      </w:r>
    </w:p>
    <w:p w:rsidR="009E2EAE" w:rsidRPr="00DB2795" w:rsidRDefault="000C362D" w:rsidP="006467DF">
      <w:pPr>
        <w:rPr>
          <w:sz w:val="20"/>
          <w:szCs w:val="20"/>
        </w:rPr>
      </w:pPr>
      <w:r w:rsidRPr="00DB2795">
        <w:rPr>
          <w:sz w:val="20"/>
          <w:szCs w:val="20"/>
        </w:rPr>
        <w:t xml:space="preserve">The main goal in this work was two-fold. We hoped that by bringing together a variety of experts from different background, including lawyers, journalists, and civil society leaders, new informal networks would develop that PIJ and other parts of the OSF network could engage to monitor governments’ adherence to these standards and that governments in turn would be more receptive to adapting standards into law, if pressure to </w:t>
      </w:r>
      <w:r w:rsidR="00A169B6">
        <w:rPr>
          <w:sz w:val="20"/>
          <w:szCs w:val="20"/>
        </w:rPr>
        <w:t xml:space="preserve">do </w:t>
      </w:r>
      <w:r w:rsidRPr="00DB2795">
        <w:rPr>
          <w:sz w:val="20"/>
          <w:szCs w:val="20"/>
        </w:rPr>
        <w:t xml:space="preserve">so came from more collaborative approaches </w:t>
      </w:r>
      <w:r w:rsidR="00A169B6">
        <w:rPr>
          <w:sz w:val="20"/>
          <w:szCs w:val="20"/>
        </w:rPr>
        <w:t>between</w:t>
      </w:r>
      <w:r w:rsidRPr="00DB2795">
        <w:rPr>
          <w:sz w:val="20"/>
          <w:szCs w:val="20"/>
        </w:rPr>
        <w:t xml:space="preserve"> IGOs and civil society. However, most of these </w:t>
      </w:r>
      <w:r w:rsidR="00A169B6">
        <w:rPr>
          <w:sz w:val="20"/>
          <w:szCs w:val="20"/>
        </w:rPr>
        <w:t xml:space="preserve">follow-on </w:t>
      </w:r>
      <w:r w:rsidRPr="00DB2795">
        <w:rPr>
          <w:sz w:val="20"/>
          <w:szCs w:val="20"/>
        </w:rPr>
        <w:t xml:space="preserve">efforts are expected to take place 2014 as part of the Program’s strategy. </w:t>
      </w:r>
      <w:r w:rsidR="00A169B6">
        <w:rPr>
          <w:sz w:val="20"/>
          <w:szCs w:val="20"/>
        </w:rPr>
        <w:t>Our engagement with the Rapporteurs c</w:t>
      </w:r>
      <w:r w:rsidR="00C92518" w:rsidRPr="00DB2795">
        <w:rPr>
          <w:sz w:val="20"/>
          <w:szCs w:val="20"/>
        </w:rPr>
        <w:t>ould be</w:t>
      </w:r>
      <w:r w:rsidR="00D03881" w:rsidRPr="00DB2795">
        <w:rPr>
          <w:sz w:val="20"/>
          <w:szCs w:val="20"/>
        </w:rPr>
        <w:t xml:space="preserve"> considered as the Program’s concept </w:t>
      </w:r>
      <w:r w:rsidR="00560CDA" w:rsidRPr="00DB2795">
        <w:rPr>
          <w:sz w:val="20"/>
          <w:szCs w:val="20"/>
        </w:rPr>
        <w:t xml:space="preserve">in that </w:t>
      </w:r>
      <w:r w:rsidR="00A169B6">
        <w:rPr>
          <w:sz w:val="20"/>
          <w:szCs w:val="20"/>
        </w:rPr>
        <w:t xml:space="preserve">developing these initiatives </w:t>
      </w:r>
      <w:r w:rsidR="00C92518" w:rsidRPr="00DB2795">
        <w:rPr>
          <w:sz w:val="20"/>
          <w:szCs w:val="20"/>
        </w:rPr>
        <w:t xml:space="preserve"> </w:t>
      </w:r>
      <w:r w:rsidR="00A169B6">
        <w:rPr>
          <w:sz w:val="20"/>
          <w:szCs w:val="20"/>
        </w:rPr>
        <w:t>and following through with implementing them, required</w:t>
      </w:r>
      <w:r w:rsidR="00D03881" w:rsidRPr="00DB2795">
        <w:rPr>
          <w:sz w:val="20"/>
          <w:szCs w:val="20"/>
        </w:rPr>
        <w:t xml:space="preserve"> substantial staff input</w:t>
      </w:r>
      <w:r w:rsidR="00A169B6">
        <w:rPr>
          <w:sz w:val="20"/>
          <w:szCs w:val="20"/>
        </w:rPr>
        <w:t>.</w:t>
      </w:r>
    </w:p>
    <w:p w:rsidR="004E2CF1" w:rsidRPr="00DB2795" w:rsidRDefault="004E2CF1" w:rsidP="006467DF">
      <w:pPr>
        <w:pStyle w:val="ListParagraph"/>
        <w:numPr>
          <w:ilvl w:val="0"/>
          <w:numId w:val="14"/>
        </w:numPr>
        <w:rPr>
          <w:rStyle w:val="Emphasis"/>
          <w:b/>
          <w:i w:val="0"/>
          <w:iCs w:val="0"/>
          <w:color w:val="000000" w:themeColor="text1"/>
          <w:sz w:val="20"/>
          <w:szCs w:val="20"/>
        </w:rPr>
      </w:pPr>
      <w:r w:rsidRPr="00DB2795">
        <w:rPr>
          <w:b/>
          <w:color w:val="000000" w:themeColor="text1"/>
          <w:sz w:val="20"/>
          <w:szCs w:val="20"/>
        </w:rPr>
        <w:t>UN Special Rapporteu</w:t>
      </w:r>
      <w:r w:rsidR="00D75C0A" w:rsidRPr="00DB2795">
        <w:rPr>
          <w:b/>
          <w:color w:val="000000" w:themeColor="text1"/>
          <w:sz w:val="20"/>
          <w:szCs w:val="20"/>
        </w:rPr>
        <w:t xml:space="preserve">r on the </w:t>
      </w:r>
      <w:r w:rsidR="00D75C0A" w:rsidRPr="00DB2795">
        <w:rPr>
          <w:rFonts w:cs="Arial"/>
          <w:b/>
          <w:color w:val="000000" w:themeColor="text1"/>
          <w:sz w:val="20"/>
          <w:szCs w:val="20"/>
          <w:shd w:val="clear" w:color="auto" w:fill="FFFFFF"/>
        </w:rPr>
        <w:t>Promotion and Protection of the Right to</w:t>
      </w:r>
      <w:r w:rsidR="00D75C0A" w:rsidRPr="00DB2795">
        <w:rPr>
          <w:rStyle w:val="apple-converted-space"/>
          <w:rFonts w:cs="Arial"/>
          <w:b/>
          <w:color w:val="000000" w:themeColor="text1"/>
          <w:sz w:val="20"/>
          <w:szCs w:val="20"/>
          <w:shd w:val="clear" w:color="auto" w:fill="FFFFFF"/>
        </w:rPr>
        <w:t> F</w:t>
      </w:r>
      <w:r w:rsidR="00D75C0A" w:rsidRPr="00DB2795">
        <w:rPr>
          <w:rStyle w:val="Emphasis"/>
          <w:rFonts w:cs="Arial"/>
          <w:b/>
          <w:bCs/>
          <w:i w:val="0"/>
          <w:iCs w:val="0"/>
          <w:color w:val="000000" w:themeColor="text1"/>
          <w:sz w:val="20"/>
          <w:szCs w:val="20"/>
          <w:shd w:val="clear" w:color="auto" w:fill="FFFFFF"/>
        </w:rPr>
        <w:t>reedom of</w:t>
      </w:r>
      <w:r w:rsidR="00D75C0A" w:rsidRPr="00DB2795">
        <w:rPr>
          <w:rStyle w:val="apple-converted-space"/>
          <w:rFonts w:cs="Arial"/>
          <w:b/>
          <w:color w:val="000000" w:themeColor="text1"/>
          <w:sz w:val="20"/>
          <w:szCs w:val="20"/>
          <w:shd w:val="clear" w:color="auto" w:fill="FFFFFF"/>
        </w:rPr>
        <w:t> O</w:t>
      </w:r>
      <w:r w:rsidR="00D75C0A" w:rsidRPr="00DB2795">
        <w:rPr>
          <w:rFonts w:cs="Arial"/>
          <w:b/>
          <w:color w:val="000000" w:themeColor="text1"/>
          <w:sz w:val="20"/>
          <w:szCs w:val="20"/>
          <w:shd w:val="clear" w:color="auto" w:fill="FFFFFF"/>
        </w:rPr>
        <w:t>pinion and</w:t>
      </w:r>
      <w:r w:rsidR="00D75C0A" w:rsidRPr="00DB2795">
        <w:rPr>
          <w:rStyle w:val="apple-converted-space"/>
          <w:rFonts w:cs="Arial"/>
          <w:b/>
          <w:color w:val="000000" w:themeColor="text1"/>
          <w:sz w:val="20"/>
          <w:szCs w:val="20"/>
          <w:shd w:val="clear" w:color="auto" w:fill="FFFFFF"/>
        </w:rPr>
        <w:t> E</w:t>
      </w:r>
      <w:r w:rsidR="00D75C0A" w:rsidRPr="00DB2795">
        <w:rPr>
          <w:rStyle w:val="Emphasis"/>
          <w:rFonts w:cs="Arial"/>
          <w:b/>
          <w:bCs/>
          <w:i w:val="0"/>
          <w:iCs w:val="0"/>
          <w:color w:val="000000" w:themeColor="text1"/>
          <w:sz w:val="20"/>
          <w:szCs w:val="20"/>
          <w:shd w:val="clear" w:color="auto" w:fill="FFFFFF"/>
        </w:rPr>
        <w:t>xpression</w:t>
      </w:r>
    </w:p>
    <w:p w:rsidR="006A161F" w:rsidRPr="00DB2795" w:rsidRDefault="00B63F23" w:rsidP="006467DF">
      <w:pPr>
        <w:rPr>
          <w:sz w:val="20"/>
          <w:szCs w:val="20"/>
        </w:rPr>
      </w:pPr>
      <w:r w:rsidRPr="00DB2795">
        <w:rPr>
          <w:sz w:val="20"/>
          <w:szCs w:val="20"/>
        </w:rPr>
        <w:t>In 2</w:t>
      </w:r>
      <w:r w:rsidR="00AA70A5" w:rsidRPr="00DB2795">
        <w:rPr>
          <w:sz w:val="20"/>
          <w:szCs w:val="20"/>
        </w:rPr>
        <w:t>010</w:t>
      </w:r>
      <w:r w:rsidRPr="00DB2795">
        <w:rPr>
          <w:sz w:val="20"/>
          <w:szCs w:val="20"/>
        </w:rPr>
        <w:t xml:space="preserve"> </w:t>
      </w:r>
      <w:r w:rsidR="00AA70A5" w:rsidRPr="00DB2795">
        <w:rPr>
          <w:sz w:val="20"/>
          <w:szCs w:val="20"/>
        </w:rPr>
        <w:t>PIJ agreed to co-fund with the Swedish government a series of six regional consultations</w:t>
      </w:r>
      <w:r w:rsidR="007A64E4" w:rsidRPr="00DB2795">
        <w:rPr>
          <w:sz w:val="20"/>
          <w:szCs w:val="20"/>
        </w:rPr>
        <w:t xml:space="preserve"> on Internet freedom, jointly </w:t>
      </w:r>
      <w:r w:rsidR="00C04B2A" w:rsidRPr="00DB2795">
        <w:rPr>
          <w:sz w:val="20"/>
          <w:szCs w:val="20"/>
        </w:rPr>
        <w:t xml:space="preserve">with </w:t>
      </w:r>
      <w:r w:rsidR="00B53A17" w:rsidRPr="00DB2795">
        <w:rPr>
          <w:sz w:val="20"/>
          <w:szCs w:val="20"/>
        </w:rPr>
        <w:t>t</w:t>
      </w:r>
      <w:r w:rsidR="007B4AF9" w:rsidRPr="00DB2795">
        <w:rPr>
          <w:sz w:val="20"/>
          <w:szCs w:val="20"/>
        </w:rPr>
        <w:t xml:space="preserve">he </w:t>
      </w:r>
      <w:r w:rsidR="00C04B2A" w:rsidRPr="00DB2795">
        <w:rPr>
          <w:sz w:val="20"/>
          <w:szCs w:val="20"/>
        </w:rPr>
        <w:t xml:space="preserve">Demos Institute, the </w:t>
      </w:r>
      <w:r w:rsidR="007B4AF9" w:rsidRPr="00DB2795">
        <w:rPr>
          <w:sz w:val="20"/>
          <w:szCs w:val="20"/>
        </w:rPr>
        <w:t xml:space="preserve">NGO founded by </w:t>
      </w:r>
      <w:r w:rsidR="007A64E4" w:rsidRPr="00DB2795">
        <w:rPr>
          <w:sz w:val="20"/>
          <w:szCs w:val="20"/>
        </w:rPr>
        <w:t xml:space="preserve">the UN Special Rapporteur, </w:t>
      </w:r>
      <w:r w:rsidR="007B4AF9" w:rsidRPr="00DB2795">
        <w:rPr>
          <w:sz w:val="20"/>
          <w:szCs w:val="20"/>
        </w:rPr>
        <w:t>Frank La Rue</w:t>
      </w:r>
      <w:r w:rsidR="00A169B6">
        <w:rPr>
          <w:sz w:val="20"/>
          <w:szCs w:val="20"/>
        </w:rPr>
        <w:t xml:space="preserve">. This process would eventually lead to his, then pivotal, </w:t>
      </w:r>
      <w:r w:rsidR="00C04B2A" w:rsidRPr="00DB2795">
        <w:rPr>
          <w:sz w:val="20"/>
          <w:szCs w:val="20"/>
        </w:rPr>
        <w:t xml:space="preserve">report </w:t>
      </w:r>
      <w:r w:rsidR="00A169B6">
        <w:rPr>
          <w:sz w:val="20"/>
          <w:szCs w:val="20"/>
        </w:rPr>
        <w:t xml:space="preserve">on Internet freedom to the United Nations, </w:t>
      </w:r>
      <w:r w:rsidR="00C04B2A" w:rsidRPr="00DB2795">
        <w:rPr>
          <w:sz w:val="20"/>
          <w:szCs w:val="20"/>
        </w:rPr>
        <w:t>which set new standards on issues ranging from liability to jurisdiction and privacy and surveillance.</w:t>
      </w:r>
    </w:p>
    <w:p w:rsidR="007A64E4" w:rsidRDefault="006B5994" w:rsidP="006467DF">
      <w:pPr>
        <w:rPr>
          <w:sz w:val="20"/>
          <w:szCs w:val="20"/>
        </w:rPr>
      </w:pPr>
      <w:r w:rsidRPr="00DB2795">
        <w:rPr>
          <w:sz w:val="20"/>
          <w:szCs w:val="20"/>
        </w:rPr>
        <w:t>In 2012-2013, PIJ supported Demos to</w:t>
      </w:r>
      <w:r w:rsidR="002878EE" w:rsidRPr="00DB2795">
        <w:rPr>
          <w:sz w:val="20"/>
          <w:szCs w:val="20"/>
        </w:rPr>
        <w:t xml:space="preserve"> hold</w:t>
      </w:r>
      <w:r w:rsidRPr="00DB2795">
        <w:rPr>
          <w:sz w:val="20"/>
          <w:szCs w:val="20"/>
        </w:rPr>
        <w:t xml:space="preserve"> further consultations with civil society </w:t>
      </w:r>
      <w:r w:rsidR="00E63FA4" w:rsidRPr="00DB2795">
        <w:rPr>
          <w:sz w:val="20"/>
          <w:szCs w:val="20"/>
        </w:rPr>
        <w:t xml:space="preserve">on </w:t>
      </w:r>
      <w:r w:rsidR="00A169B6">
        <w:rPr>
          <w:sz w:val="20"/>
          <w:szCs w:val="20"/>
        </w:rPr>
        <w:t xml:space="preserve">an </w:t>
      </w:r>
      <w:r w:rsidR="00E63FA4" w:rsidRPr="00DB2795">
        <w:rPr>
          <w:sz w:val="20"/>
          <w:szCs w:val="20"/>
        </w:rPr>
        <w:t>additional four top</w:t>
      </w:r>
      <w:r w:rsidR="00A169B6">
        <w:rPr>
          <w:sz w:val="20"/>
          <w:szCs w:val="20"/>
        </w:rPr>
        <w:t xml:space="preserve">ics leading to the Rapporteur’s </w:t>
      </w:r>
      <w:r w:rsidR="00E63FA4" w:rsidRPr="00DB2795">
        <w:rPr>
          <w:sz w:val="20"/>
          <w:szCs w:val="20"/>
        </w:rPr>
        <w:t>report</w:t>
      </w:r>
      <w:r w:rsidR="008E76E2" w:rsidRPr="00DB2795">
        <w:rPr>
          <w:sz w:val="20"/>
          <w:szCs w:val="20"/>
        </w:rPr>
        <w:t>s</w:t>
      </w:r>
      <w:r w:rsidR="00E63FA4" w:rsidRPr="00DB2795">
        <w:rPr>
          <w:sz w:val="20"/>
          <w:szCs w:val="20"/>
        </w:rPr>
        <w:t xml:space="preserve"> to </w:t>
      </w:r>
      <w:r w:rsidR="008E76E2" w:rsidRPr="00DB2795">
        <w:rPr>
          <w:sz w:val="20"/>
          <w:szCs w:val="20"/>
        </w:rPr>
        <w:t>the United Nations</w:t>
      </w:r>
      <w:r w:rsidR="00817FAB" w:rsidRPr="00DB2795">
        <w:rPr>
          <w:sz w:val="20"/>
          <w:szCs w:val="20"/>
        </w:rPr>
        <w:t xml:space="preserve"> </w:t>
      </w:r>
      <w:r w:rsidR="006A161F" w:rsidRPr="00DB2795">
        <w:rPr>
          <w:sz w:val="20"/>
          <w:szCs w:val="20"/>
        </w:rPr>
        <w:t>—</w:t>
      </w:r>
      <w:r w:rsidR="005F28D1" w:rsidRPr="00DB2795">
        <w:rPr>
          <w:sz w:val="20"/>
          <w:szCs w:val="20"/>
        </w:rPr>
        <w:t xml:space="preserve">on </w:t>
      </w:r>
      <w:r w:rsidR="008D2651" w:rsidRPr="00DB2795">
        <w:rPr>
          <w:sz w:val="20"/>
          <w:szCs w:val="20"/>
        </w:rPr>
        <w:t xml:space="preserve">hate speech, surveillance, the </w:t>
      </w:r>
      <w:r w:rsidR="00693BAE" w:rsidRPr="00DB2795">
        <w:rPr>
          <w:sz w:val="20"/>
          <w:szCs w:val="20"/>
        </w:rPr>
        <w:t>right to truth</w:t>
      </w:r>
      <w:r w:rsidR="00871960" w:rsidRPr="00DB2795">
        <w:rPr>
          <w:sz w:val="20"/>
          <w:szCs w:val="20"/>
        </w:rPr>
        <w:t xml:space="preserve"> and political communication during election periods </w:t>
      </w:r>
      <w:r w:rsidR="006A161F" w:rsidRPr="00DB2795">
        <w:rPr>
          <w:sz w:val="20"/>
          <w:szCs w:val="20"/>
        </w:rPr>
        <w:t>—</w:t>
      </w:r>
      <w:r w:rsidRPr="00DB2795">
        <w:rPr>
          <w:sz w:val="20"/>
          <w:szCs w:val="20"/>
        </w:rPr>
        <w:t xml:space="preserve">while also following up his report on Internet freedom. </w:t>
      </w:r>
      <w:r w:rsidR="00693BAE" w:rsidRPr="00DB2795">
        <w:rPr>
          <w:sz w:val="20"/>
          <w:szCs w:val="20"/>
        </w:rPr>
        <w:t xml:space="preserve"> </w:t>
      </w:r>
      <w:r w:rsidR="006D363E">
        <w:rPr>
          <w:sz w:val="20"/>
          <w:szCs w:val="20"/>
        </w:rPr>
        <w:t xml:space="preserve">However, with the exception to the report on </w:t>
      </w:r>
      <w:r w:rsidR="00A169B6">
        <w:rPr>
          <w:sz w:val="20"/>
          <w:szCs w:val="20"/>
        </w:rPr>
        <w:t xml:space="preserve">the Internet and </w:t>
      </w:r>
      <w:r w:rsidR="006D363E">
        <w:rPr>
          <w:sz w:val="20"/>
          <w:szCs w:val="20"/>
        </w:rPr>
        <w:t xml:space="preserve">surveillance, the others have generated little response and it is unclear how they might be used by civil society.  </w:t>
      </w:r>
    </w:p>
    <w:p w:rsidR="00871960" w:rsidRPr="00DB2795" w:rsidRDefault="00871960" w:rsidP="006467DF">
      <w:pPr>
        <w:pStyle w:val="ListParagraph"/>
        <w:numPr>
          <w:ilvl w:val="0"/>
          <w:numId w:val="14"/>
        </w:numPr>
        <w:rPr>
          <w:b/>
          <w:sz w:val="20"/>
          <w:szCs w:val="20"/>
        </w:rPr>
      </w:pPr>
      <w:r w:rsidRPr="00DB2795">
        <w:rPr>
          <w:b/>
          <w:sz w:val="20"/>
          <w:szCs w:val="20"/>
        </w:rPr>
        <w:t>Special Rapporteur for Freedom of Expression of the Inter-American Commission on Human Rights</w:t>
      </w:r>
      <w:r w:rsidR="006D363E">
        <w:rPr>
          <w:b/>
          <w:sz w:val="20"/>
          <w:szCs w:val="20"/>
        </w:rPr>
        <w:t xml:space="preserve"> </w:t>
      </w:r>
    </w:p>
    <w:p w:rsidR="00BC02B8" w:rsidRPr="00DB2795" w:rsidRDefault="00A169B6" w:rsidP="006467DF">
      <w:pPr>
        <w:rPr>
          <w:sz w:val="20"/>
          <w:szCs w:val="20"/>
        </w:rPr>
      </w:pPr>
      <w:r>
        <w:rPr>
          <w:color w:val="000000" w:themeColor="text1"/>
          <w:sz w:val="20"/>
          <w:szCs w:val="20"/>
        </w:rPr>
        <w:t xml:space="preserve">In 2012, the PIJ, the </w:t>
      </w:r>
      <w:r w:rsidR="00414099">
        <w:rPr>
          <w:color w:val="000000" w:themeColor="text1"/>
          <w:sz w:val="20"/>
          <w:szCs w:val="20"/>
        </w:rPr>
        <w:t>Latin American Program and the Information</w:t>
      </w:r>
      <w:r w:rsidR="005B67FF" w:rsidRPr="00DB2795">
        <w:rPr>
          <w:color w:val="000000" w:themeColor="text1"/>
          <w:sz w:val="20"/>
          <w:szCs w:val="20"/>
        </w:rPr>
        <w:t xml:space="preserve"> Program</w:t>
      </w:r>
      <w:r w:rsidR="00453F78" w:rsidRPr="00DB2795">
        <w:rPr>
          <w:color w:val="000000" w:themeColor="text1"/>
          <w:sz w:val="20"/>
          <w:szCs w:val="20"/>
        </w:rPr>
        <w:t xml:space="preserve"> </w:t>
      </w:r>
      <w:r w:rsidR="00414099">
        <w:rPr>
          <w:color w:val="000000" w:themeColor="text1"/>
          <w:sz w:val="20"/>
          <w:szCs w:val="20"/>
        </w:rPr>
        <w:t xml:space="preserve">agreed to provide </w:t>
      </w:r>
      <w:r w:rsidR="000C362D" w:rsidRPr="00DB2795">
        <w:rPr>
          <w:color w:val="000000" w:themeColor="text1"/>
          <w:sz w:val="20"/>
          <w:szCs w:val="20"/>
        </w:rPr>
        <w:t xml:space="preserve">support to the </w:t>
      </w:r>
      <w:r w:rsidR="0015010E" w:rsidRPr="00DB2795">
        <w:rPr>
          <w:color w:val="000000" w:themeColor="text1"/>
          <w:sz w:val="20"/>
          <w:szCs w:val="20"/>
        </w:rPr>
        <w:t xml:space="preserve">Trust of the Americas, to support </w:t>
      </w:r>
      <w:r w:rsidR="000C362D" w:rsidRPr="00DB2795">
        <w:rPr>
          <w:color w:val="000000" w:themeColor="text1"/>
          <w:sz w:val="20"/>
          <w:szCs w:val="20"/>
        </w:rPr>
        <w:t>the work of</w:t>
      </w:r>
      <w:r w:rsidR="00414099">
        <w:rPr>
          <w:color w:val="000000" w:themeColor="text1"/>
          <w:sz w:val="20"/>
          <w:szCs w:val="20"/>
        </w:rPr>
        <w:t xml:space="preserve"> </w:t>
      </w:r>
      <w:r w:rsidR="00414099" w:rsidRPr="00414099">
        <w:rPr>
          <w:color w:val="000000" w:themeColor="text1"/>
          <w:sz w:val="20"/>
          <w:szCs w:val="20"/>
        </w:rPr>
        <w:t>the Special Rapporteur for Freedom of Expression for the Inter-Amer</w:t>
      </w:r>
      <w:r w:rsidR="00414099">
        <w:rPr>
          <w:color w:val="000000" w:themeColor="text1"/>
          <w:sz w:val="20"/>
          <w:szCs w:val="20"/>
        </w:rPr>
        <w:t>ican Commission on Human Rights</w:t>
      </w:r>
      <w:r w:rsidR="000C362D" w:rsidRPr="00DB2795">
        <w:rPr>
          <w:color w:val="000000" w:themeColor="text1"/>
          <w:sz w:val="20"/>
          <w:szCs w:val="20"/>
        </w:rPr>
        <w:t xml:space="preserve">. This </w:t>
      </w:r>
      <w:r w:rsidR="00414099">
        <w:rPr>
          <w:color w:val="000000" w:themeColor="text1"/>
          <w:sz w:val="20"/>
          <w:szCs w:val="20"/>
        </w:rPr>
        <w:t>funding included support for civil society</w:t>
      </w:r>
      <w:r w:rsidR="000C362D" w:rsidRPr="00DB2795">
        <w:rPr>
          <w:color w:val="000000" w:themeColor="text1"/>
          <w:sz w:val="20"/>
          <w:szCs w:val="20"/>
        </w:rPr>
        <w:t xml:space="preserve"> consultations </w:t>
      </w:r>
      <w:r w:rsidR="00C04B2A" w:rsidRPr="00DB2795">
        <w:rPr>
          <w:color w:val="000000" w:themeColor="text1"/>
          <w:sz w:val="20"/>
          <w:szCs w:val="20"/>
        </w:rPr>
        <w:t xml:space="preserve">and </w:t>
      </w:r>
      <w:r w:rsidR="000C362D" w:rsidRPr="00DB2795">
        <w:rPr>
          <w:color w:val="000000" w:themeColor="text1"/>
          <w:sz w:val="20"/>
          <w:szCs w:val="20"/>
        </w:rPr>
        <w:t xml:space="preserve">reports on three topics: 1) </w:t>
      </w:r>
      <w:r w:rsidR="00453F78" w:rsidRPr="00DB2795">
        <w:rPr>
          <w:color w:val="000000" w:themeColor="text1"/>
          <w:sz w:val="20"/>
          <w:szCs w:val="20"/>
        </w:rPr>
        <w:t xml:space="preserve">analysing legal </w:t>
      </w:r>
      <w:r w:rsidR="000F7045" w:rsidRPr="00DB2795">
        <w:rPr>
          <w:color w:val="000000" w:themeColor="text1"/>
          <w:sz w:val="20"/>
          <w:szCs w:val="20"/>
        </w:rPr>
        <w:t>cases in Latin America on</w:t>
      </w:r>
      <w:r w:rsidR="00453F78" w:rsidRPr="00DB2795">
        <w:rPr>
          <w:color w:val="000000" w:themeColor="text1"/>
          <w:sz w:val="20"/>
          <w:szCs w:val="20"/>
        </w:rPr>
        <w:t xml:space="preserve"> impunity surrounding the killings of journalists (so as to hold governments accountable and ultimately improv</w:t>
      </w:r>
      <w:r w:rsidR="006B5994" w:rsidRPr="00DB2795">
        <w:rPr>
          <w:color w:val="000000" w:themeColor="text1"/>
          <w:sz w:val="20"/>
          <w:szCs w:val="20"/>
        </w:rPr>
        <w:t>ing</w:t>
      </w:r>
      <w:r w:rsidR="00453F78" w:rsidRPr="00DB2795">
        <w:rPr>
          <w:color w:val="000000" w:themeColor="text1"/>
          <w:sz w:val="20"/>
          <w:szCs w:val="20"/>
        </w:rPr>
        <w:t xml:space="preserve"> the overall safet</w:t>
      </w:r>
      <w:r w:rsidR="000F7045" w:rsidRPr="00DB2795">
        <w:rPr>
          <w:color w:val="000000" w:themeColor="text1"/>
          <w:sz w:val="20"/>
          <w:szCs w:val="20"/>
        </w:rPr>
        <w:t>y environment for journalists</w:t>
      </w:r>
      <w:r w:rsidR="0015010E" w:rsidRPr="00DB2795">
        <w:rPr>
          <w:color w:val="000000" w:themeColor="text1"/>
          <w:sz w:val="20"/>
          <w:szCs w:val="20"/>
        </w:rPr>
        <w:t>)</w:t>
      </w:r>
      <w:r w:rsidR="000C362D" w:rsidRPr="00DB2795">
        <w:rPr>
          <w:color w:val="000000" w:themeColor="text1"/>
          <w:sz w:val="20"/>
          <w:szCs w:val="20"/>
        </w:rPr>
        <w:t>; 2)</w:t>
      </w:r>
      <w:r w:rsidR="006B5994" w:rsidRPr="00DB2795">
        <w:rPr>
          <w:color w:val="000000" w:themeColor="text1"/>
          <w:sz w:val="20"/>
          <w:szCs w:val="20"/>
        </w:rPr>
        <w:t>elaborating</w:t>
      </w:r>
      <w:r w:rsidR="00E5729A" w:rsidRPr="00DB2795">
        <w:rPr>
          <w:color w:val="000000" w:themeColor="text1"/>
          <w:sz w:val="20"/>
          <w:szCs w:val="20"/>
        </w:rPr>
        <w:t xml:space="preserve"> standards on Internet freedom for Latin America</w:t>
      </w:r>
      <w:r w:rsidR="000C362D" w:rsidRPr="00DB2795">
        <w:rPr>
          <w:color w:val="000000" w:themeColor="text1"/>
          <w:sz w:val="20"/>
          <w:szCs w:val="20"/>
        </w:rPr>
        <w:t>;</w:t>
      </w:r>
      <w:r w:rsidR="007A64E4" w:rsidRPr="00DB2795">
        <w:rPr>
          <w:color w:val="000000" w:themeColor="text1"/>
          <w:sz w:val="20"/>
          <w:szCs w:val="20"/>
        </w:rPr>
        <w:t xml:space="preserve"> </w:t>
      </w:r>
      <w:r w:rsidR="006B5994" w:rsidRPr="00DB2795">
        <w:rPr>
          <w:color w:val="000000" w:themeColor="text1"/>
          <w:sz w:val="20"/>
          <w:szCs w:val="20"/>
        </w:rPr>
        <w:t xml:space="preserve">and </w:t>
      </w:r>
      <w:r w:rsidR="000C362D" w:rsidRPr="00DB2795">
        <w:rPr>
          <w:color w:val="000000" w:themeColor="text1"/>
          <w:sz w:val="20"/>
          <w:szCs w:val="20"/>
        </w:rPr>
        <w:t xml:space="preserve">3) </w:t>
      </w:r>
      <w:r w:rsidR="006B5994" w:rsidRPr="00DB2795">
        <w:rPr>
          <w:color w:val="000000" w:themeColor="text1"/>
          <w:sz w:val="20"/>
          <w:szCs w:val="20"/>
        </w:rPr>
        <w:t>developing best practices for the digital-switch-over (</w:t>
      </w:r>
      <w:r w:rsidR="000958B6" w:rsidRPr="00DB2795">
        <w:rPr>
          <w:color w:val="000000" w:themeColor="text1"/>
          <w:sz w:val="20"/>
          <w:szCs w:val="20"/>
        </w:rPr>
        <w:t xml:space="preserve">based on findings from the </w:t>
      </w:r>
      <w:r w:rsidR="006B5994" w:rsidRPr="00DB2795">
        <w:rPr>
          <w:color w:val="000000" w:themeColor="text1"/>
          <w:sz w:val="20"/>
          <w:szCs w:val="20"/>
        </w:rPr>
        <w:t>Mapping Digital Media initiative</w:t>
      </w:r>
      <w:r w:rsidR="009E4A1D" w:rsidRPr="00DB2795">
        <w:rPr>
          <w:color w:val="000000" w:themeColor="text1"/>
          <w:sz w:val="20"/>
          <w:szCs w:val="20"/>
        </w:rPr>
        <w:t xml:space="preserve">, although this work </w:t>
      </w:r>
      <w:r w:rsidR="00EF1E95">
        <w:rPr>
          <w:color w:val="000000" w:themeColor="text1"/>
          <w:sz w:val="20"/>
          <w:szCs w:val="20"/>
        </w:rPr>
        <w:t>will be</w:t>
      </w:r>
      <w:r w:rsidR="009E4A1D" w:rsidRPr="00DB2795">
        <w:rPr>
          <w:color w:val="000000" w:themeColor="text1"/>
          <w:sz w:val="20"/>
          <w:szCs w:val="20"/>
        </w:rPr>
        <w:t xml:space="preserve"> assessed by that Portfolio</w:t>
      </w:r>
      <w:r w:rsidR="003E0DB7">
        <w:rPr>
          <w:color w:val="000000" w:themeColor="text1"/>
          <w:sz w:val="20"/>
          <w:szCs w:val="20"/>
        </w:rPr>
        <w:t>)</w:t>
      </w:r>
      <w:r w:rsidR="00C7637E" w:rsidRPr="00DB2795">
        <w:rPr>
          <w:color w:val="000000" w:themeColor="text1"/>
          <w:sz w:val="20"/>
          <w:szCs w:val="20"/>
        </w:rPr>
        <w:t>.  This work was much more systematic and organized than the</w:t>
      </w:r>
      <w:r w:rsidR="00044133">
        <w:rPr>
          <w:color w:val="000000" w:themeColor="text1"/>
          <w:sz w:val="20"/>
          <w:szCs w:val="20"/>
        </w:rPr>
        <w:t xml:space="preserve"> work of the UN Special Rapport</w:t>
      </w:r>
      <w:r w:rsidR="00C7637E" w:rsidRPr="00DB2795">
        <w:rPr>
          <w:color w:val="000000" w:themeColor="text1"/>
          <w:sz w:val="20"/>
          <w:szCs w:val="20"/>
        </w:rPr>
        <w:t>e</w:t>
      </w:r>
      <w:r w:rsidR="00044133">
        <w:rPr>
          <w:color w:val="000000" w:themeColor="text1"/>
          <w:sz w:val="20"/>
          <w:szCs w:val="20"/>
        </w:rPr>
        <w:t>u</w:t>
      </w:r>
      <w:r w:rsidR="00C7637E" w:rsidRPr="00DB2795">
        <w:rPr>
          <w:color w:val="000000" w:themeColor="text1"/>
          <w:sz w:val="20"/>
          <w:szCs w:val="20"/>
        </w:rPr>
        <w:t>r and through engaging appropriat</w:t>
      </w:r>
      <w:r w:rsidR="00371616">
        <w:rPr>
          <w:color w:val="000000" w:themeColor="text1"/>
          <w:sz w:val="20"/>
          <w:szCs w:val="20"/>
        </w:rPr>
        <w:t>e experts from civil society they</w:t>
      </w:r>
      <w:r w:rsidR="00C7637E" w:rsidRPr="00DB2795">
        <w:rPr>
          <w:color w:val="000000" w:themeColor="text1"/>
          <w:sz w:val="20"/>
          <w:szCs w:val="20"/>
        </w:rPr>
        <w:t xml:space="preserve"> were able to also follow through on </w:t>
      </w:r>
      <w:r w:rsidR="006D363E">
        <w:rPr>
          <w:color w:val="000000" w:themeColor="text1"/>
          <w:sz w:val="20"/>
          <w:szCs w:val="20"/>
        </w:rPr>
        <w:t xml:space="preserve">developing </w:t>
      </w:r>
      <w:r w:rsidR="00C7637E" w:rsidRPr="00DB2795">
        <w:rPr>
          <w:color w:val="000000" w:themeColor="text1"/>
          <w:sz w:val="20"/>
          <w:szCs w:val="20"/>
        </w:rPr>
        <w:t xml:space="preserve">effective advocacy strategies.  </w:t>
      </w:r>
    </w:p>
    <w:p w:rsidR="004E2CF1" w:rsidRPr="00DB2795" w:rsidRDefault="004E2CF1">
      <w:pPr>
        <w:pStyle w:val="ListParagraph"/>
        <w:numPr>
          <w:ilvl w:val="0"/>
          <w:numId w:val="15"/>
        </w:numPr>
        <w:rPr>
          <w:b/>
          <w:sz w:val="20"/>
          <w:szCs w:val="20"/>
        </w:rPr>
      </w:pPr>
      <w:r w:rsidRPr="00DB2795">
        <w:rPr>
          <w:b/>
          <w:sz w:val="20"/>
          <w:szCs w:val="20"/>
          <w:lang w:eastAsia="en-GB"/>
        </w:rPr>
        <w:t>Special Rapporteur on Freedom of Expression and Access to Information (Africa)</w:t>
      </w:r>
    </w:p>
    <w:p w:rsidR="008E76E2" w:rsidRPr="00DB2795" w:rsidRDefault="005B67FF" w:rsidP="008E76E2">
      <w:pPr>
        <w:rPr>
          <w:sz w:val="20"/>
          <w:szCs w:val="20"/>
        </w:rPr>
      </w:pPr>
      <w:r w:rsidRPr="00DB2795">
        <w:rPr>
          <w:sz w:val="20"/>
          <w:szCs w:val="20"/>
        </w:rPr>
        <w:t xml:space="preserve">In 2012, the PIJ began discussions with a number of partners in Africa </w:t>
      </w:r>
      <w:r w:rsidR="00D75C0A" w:rsidRPr="00DB2795">
        <w:rPr>
          <w:sz w:val="20"/>
          <w:szCs w:val="20"/>
        </w:rPr>
        <w:t>about</w:t>
      </w:r>
      <w:r w:rsidR="00C83F65" w:rsidRPr="00DB2795">
        <w:rPr>
          <w:sz w:val="20"/>
          <w:szCs w:val="20"/>
        </w:rPr>
        <w:t xml:space="preserve"> </w:t>
      </w:r>
      <w:r w:rsidR="000958B6" w:rsidRPr="00DB2795">
        <w:rPr>
          <w:sz w:val="20"/>
          <w:szCs w:val="20"/>
        </w:rPr>
        <w:t xml:space="preserve">supporting </w:t>
      </w:r>
      <w:r w:rsidRPr="00DB2795">
        <w:rPr>
          <w:sz w:val="20"/>
          <w:szCs w:val="20"/>
        </w:rPr>
        <w:t>ongoing efforts to decriminali</w:t>
      </w:r>
      <w:r w:rsidR="00500D0F" w:rsidRPr="00DB2795">
        <w:rPr>
          <w:sz w:val="20"/>
          <w:szCs w:val="20"/>
        </w:rPr>
        <w:t xml:space="preserve">ze defamation. </w:t>
      </w:r>
      <w:r w:rsidR="00D75C0A" w:rsidRPr="00DB2795">
        <w:rPr>
          <w:sz w:val="20"/>
          <w:szCs w:val="20"/>
        </w:rPr>
        <w:t>D</w:t>
      </w:r>
      <w:r w:rsidR="00500D0F" w:rsidRPr="00DB2795">
        <w:rPr>
          <w:sz w:val="20"/>
          <w:szCs w:val="20"/>
        </w:rPr>
        <w:t>ue to competing interests between many of these</w:t>
      </w:r>
      <w:r w:rsidRPr="00DB2795">
        <w:rPr>
          <w:sz w:val="20"/>
          <w:szCs w:val="20"/>
        </w:rPr>
        <w:t xml:space="preserve"> </w:t>
      </w:r>
      <w:r w:rsidR="00FE6BCC" w:rsidRPr="00DB2795">
        <w:rPr>
          <w:sz w:val="20"/>
          <w:szCs w:val="20"/>
        </w:rPr>
        <w:t>NGO</w:t>
      </w:r>
      <w:r w:rsidR="00C7637E" w:rsidRPr="00DB2795">
        <w:rPr>
          <w:sz w:val="20"/>
          <w:szCs w:val="20"/>
        </w:rPr>
        <w:t xml:space="preserve">s </w:t>
      </w:r>
      <w:r w:rsidRPr="00DB2795">
        <w:rPr>
          <w:sz w:val="20"/>
          <w:szCs w:val="20"/>
        </w:rPr>
        <w:t xml:space="preserve">the PIJ </w:t>
      </w:r>
      <w:r w:rsidR="0015010E" w:rsidRPr="00DB2795">
        <w:rPr>
          <w:sz w:val="20"/>
          <w:szCs w:val="20"/>
        </w:rPr>
        <w:t>agreed with the</w:t>
      </w:r>
      <w:r w:rsidRPr="00DB2795">
        <w:rPr>
          <w:sz w:val="20"/>
          <w:szCs w:val="20"/>
        </w:rPr>
        <w:t xml:space="preserve"> Special Rapporteur for Freedom of Expression</w:t>
      </w:r>
      <w:r w:rsidR="0015010E" w:rsidRPr="00DB2795">
        <w:rPr>
          <w:sz w:val="20"/>
          <w:szCs w:val="20"/>
        </w:rPr>
        <w:t xml:space="preserve"> </w:t>
      </w:r>
      <w:r w:rsidR="00500D0F" w:rsidRPr="00DB2795">
        <w:rPr>
          <w:sz w:val="20"/>
          <w:szCs w:val="20"/>
        </w:rPr>
        <w:t>at the</w:t>
      </w:r>
      <w:r w:rsidR="0015010E" w:rsidRPr="00DB2795">
        <w:rPr>
          <w:sz w:val="20"/>
          <w:szCs w:val="20"/>
        </w:rPr>
        <w:t xml:space="preserve"> African Commission to support a continent-wide campaign on decriminalization</w:t>
      </w:r>
      <w:r w:rsidR="00C83F65" w:rsidRPr="00DB2795">
        <w:rPr>
          <w:sz w:val="20"/>
          <w:szCs w:val="20"/>
        </w:rPr>
        <w:t xml:space="preserve"> through her office</w:t>
      </w:r>
      <w:r w:rsidR="0015010E" w:rsidRPr="00DB2795">
        <w:rPr>
          <w:sz w:val="20"/>
          <w:szCs w:val="20"/>
        </w:rPr>
        <w:t xml:space="preserve">, </w:t>
      </w:r>
      <w:r w:rsidR="00C83F65" w:rsidRPr="00DB2795">
        <w:rPr>
          <w:sz w:val="20"/>
          <w:szCs w:val="20"/>
        </w:rPr>
        <w:t xml:space="preserve">with grant support provided to the </w:t>
      </w:r>
      <w:r w:rsidR="0015010E" w:rsidRPr="00DB2795">
        <w:rPr>
          <w:sz w:val="20"/>
          <w:szCs w:val="20"/>
        </w:rPr>
        <w:t xml:space="preserve">University of Pretoria. This </w:t>
      </w:r>
      <w:r w:rsidR="00560CDA" w:rsidRPr="00DB2795">
        <w:rPr>
          <w:sz w:val="20"/>
          <w:szCs w:val="20"/>
        </w:rPr>
        <w:t xml:space="preserve">included </w:t>
      </w:r>
      <w:r w:rsidR="005A79A3" w:rsidRPr="00DB2795">
        <w:rPr>
          <w:sz w:val="20"/>
          <w:szCs w:val="20"/>
        </w:rPr>
        <w:t>research</w:t>
      </w:r>
      <w:r w:rsidR="004E2CF1" w:rsidRPr="00DB2795">
        <w:rPr>
          <w:sz w:val="20"/>
          <w:szCs w:val="20"/>
        </w:rPr>
        <w:t>ing</w:t>
      </w:r>
      <w:r w:rsidR="005A79A3" w:rsidRPr="00DB2795">
        <w:rPr>
          <w:sz w:val="20"/>
          <w:szCs w:val="20"/>
        </w:rPr>
        <w:t xml:space="preserve"> the legislative framework of criminal defamation and its impact in </w:t>
      </w:r>
      <w:r w:rsidR="0004180A" w:rsidRPr="00DB2795">
        <w:rPr>
          <w:sz w:val="20"/>
          <w:szCs w:val="20"/>
        </w:rPr>
        <w:t>selected countries</w:t>
      </w:r>
      <w:r w:rsidR="00560CDA" w:rsidRPr="00DB2795">
        <w:rPr>
          <w:sz w:val="20"/>
          <w:szCs w:val="20"/>
        </w:rPr>
        <w:t xml:space="preserve"> and</w:t>
      </w:r>
      <w:r w:rsidR="0004180A" w:rsidRPr="00DB2795">
        <w:rPr>
          <w:sz w:val="20"/>
          <w:szCs w:val="20"/>
        </w:rPr>
        <w:t xml:space="preserve"> regional consultations to address the need for further reform</w:t>
      </w:r>
      <w:r w:rsidR="008E76E2" w:rsidRPr="00DB2795">
        <w:rPr>
          <w:sz w:val="20"/>
          <w:szCs w:val="20"/>
        </w:rPr>
        <w:t>.</w:t>
      </w:r>
      <w:r w:rsidR="005F3981">
        <w:rPr>
          <w:sz w:val="20"/>
          <w:szCs w:val="20"/>
        </w:rPr>
        <w:t xml:space="preserve"> </w:t>
      </w:r>
      <w:r w:rsidR="008E76E2" w:rsidRPr="00DB2795">
        <w:rPr>
          <w:sz w:val="20"/>
          <w:szCs w:val="20"/>
        </w:rPr>
        <w:t>After two years the research has not been completed but due to the high visibility of the Rapporteur in speaking out on this issue, and our support for regional meetings, a dynamic civil society network has developed in Africa around the decrimina</w:t>
      </w:r>
      <w:r w:rsidR="00414099">
        <w:rPr>
          <w:sz w:val="20"/>
          <w:szCs w:val="20"/>
        </w:rPr>
        <w:t>lization of defamation campaign</w:t>
      </w:r>
      <w:r w:rsidR="008E76E2" w:rsidRPr="00DB2795">
        <w:rPr>
          <w:sz w:val="20"/>
          <w:szCs w:val="20"/>
        </w:rPr>
        <w:t xml:space="preserve"> and additional support for developing national campaigns has been provided by </w:t>
      </w:r>
      <w:r w:rsidR="003F480E">
        <w:rPr>
          <w:sz w:val="20"/>
          <w:szCs w:val="20"/>
        </w:rPr>
        <w:t>other donors.</w:t>
      </w:r>
      <w:r w:rsidR="008E76E2" w:rsidRPr="00DB2795">
        <w:rPr>
          <w:sz w:val="20"/>
          <w:szCs w:val="20"/>
        </w:rPr>
        <w:t xml:space="preserve"> </w:t>
      </w:r>
    </w:p>
    <w:p w:rsidR="00725D6B" w:rsidRPr="00DB2795" w:rsidRDefault="0049380C" w:rsidP="006467DF">
      <w:pPr>
        <w:rPr>
          <w:sz w:val="20"/>
          <w:szCs w:val="20"/>
        </w:rPr>
      </w:pPr>
      <w:r w:rsidRPr="00DB2795">
        <w:rPr>
          <w:sz w:val="20"/>
          <w:szCs w:val="20"/>
        </w:rPr>
        <w:t>Our instinct that supporting the SRs would alter the landscape has</w:t>
      </w:r>
      <w:r w:rsidR="0056239F" w:rsidRPr="00DB2795">
        <w:rPr>
          <w:sz w:val="20"/>
          <w:szCs w:val="20"/>
        </w:rPr>
        <w:t>,</w:t>
      </w:r>
      <w:r w:rsidRPr="00DB2795">
        <w:rPr>
          <w:sz w:val="20"/>
          <w:szCs w:val="20"/>
        </w:rPr>
        <w:t xml:space="preserve"> on balance</w:t>
      </w:r>
      <w:r w:rsidR="0056239F" w:rsidRPr="00DB2795">
        <w:rPr>
          <w:sz w:val="20"/>
          <w:szCs w:val="20"/>
        </w:rPr>
        <w:t>,</w:t>
      </w:r>
      <w:r w:rsidRPr="00DB2795">
        <w:rPr>
          <w:sz w:val="20"/>
          <w:szCs w:val="20"/>
        </w:rPr>
        <w:t xml:space="preserve"> been borne out. </w:t>
      </w:r>
      <w:r w:rsidR="004436C4">
        <w:rPr>
          <w:sz w:val="20"/>
          <w:szCs w:val="20"/>
        </w:rPr>
        <w:t>However,</w:t>
      </w:r>
      <w:r w:rsidR="008323D2">
        <w:rPr>
          <w:sz w:val="20"/>
          <w:szCs w:val="20"/>
        </w:rPr>
        <w:t xml:space="preserve"> </w:t>
      </w:r>
      <w:r w:rsidR="008E76E2" w:rsidRPr="00DB2795">
        <w:rPr>
          <w:sz w:val="20"/>
          <w:szCs w:val="20"/>
        </w:rPr>
        <w:t xml:space="preserve">an </w:t>
      </w:r>
      <w:r w:rsidR="00565BD8" w:rsidRPr="00DB2795">
        <w:rPr>
          <w:sz w:val="20"/>
          <w:szCs w:val="20"/>
        </w:rPr>
        <w:t xml:space="preserve">independent </w:t>
      </w:r>
      <w:r w:rsidRPr="00DB2795">
        <w:rPr>
          <w:sz w:val="20"/>
          <w:szCs w:val="20"/>
        </w:rPr>
        <w:t>assessment</w:t>
      </w:r>
      <w:r w:rsidR="008E76E2" w:rsidRPr="00DB2795">
        <w:rPr>
          <w:sz w:val="20"/>
          <w:szCs w:val="20"/>
        </w:rPr>
        <w:t xml:space="preserve"> supported by the PIJ has shown that there were critical </w:t>
      </w:r>
      <w:r w:rsidR="00C7637E" w:rsidRPr="00DB2795">
        <w:rPr>
          <w:sz w:val="20"/>
          <w:szCs w:val="20"/>
        </w:rPr>
        <w:t>w</w:t>
      </w:r>
      <w:r w:rsidR="00565BD8" w:rsidRPr="00DB2795">
        <w:rPr>
          <w:sz w:val="20"/>
          <w:szCs w:val="20"/>
        </w:rPr>
        <w:t>eaknesses in</w:t>
      </w:r>
      <w:r w:rsidR="008E76E2" w:rsidRPr="00DB2795">
        <w:rPr>
          <w:sz w:val="20"/>
          <w:szCs w:val="20"/>
        </w:rPr>
        <w:t xml:space="preserve"> working with the UN Special Rapporteur, including the choice of </w:t>
      </w:r>
      <w:r w:rsidR="00565BD8" w:rsidRPr="00DB2795">
        <w:rPr>
          <w:sz w:val="20"/>
          <w:szCs w:val="20"/>
        </w:rPr>
        <w:t xml:space="preserve">their implementing </w:t>
      </w:r>
      <w:r w:rsidR="008E76E2" w:rsidRPr="00DB2795">
        <w:rPr>
          <w:sz w:val="20"/>
          <w:szCs w:val="20"/>
        </w:rPr>
        <w:t xml:space="preserve">partner, the Demos Institute, </w:t>
      </w:r>
      <w:r w:rsidR="00C7637E" w:rsidRPr="00DB2795">
        <w:rPr>
          <w:sz w:val="20"/>
          <w:szCs w:val="20"/>
        </w:rPr>
        <w:t xml:space="preserve">which was unable to effectively </w:t>
      </w:r>
      <w:r w:rsidR="00565BD8" w:rsidRPr="00DB2795">
        <w:rPr>
          <w:sz w:val="20"/>
          <w:szCs w:val="20"/>
        </w:rPr>
        <w:t xml:space="preserve">conduct many of their regional consultations. PIJ staff spent approximately 20% of their time respectively in managing this initiative over the two-year period. The evaluation also points out very few </w:t>
      </w:r>
      <w:r w:rsidR="0056239F" w:rsidRPr="00DB2795">
        <w:rPr>
          <w:sz w:val="20"/>
          <w:szCs w:val="20"/>
        </w:rPr>
        <w:t xml:space="preserve">measureable </w:t>
      </w:r>
      <w:r w:rsidR="008E76E2" w:rsidRPr="00DB2795">
        <w:rPr>
          <w:sz w:val="20"/>
          <w:szCs w:val="20"/>
        </w:rPr>
        <w:t xml:space="preserve">achievements </w:t>
      </w:r>
      <w:r w:rsidR="00565BD8" w:rsidRPr="00DB2795">
        <w:rPr>
          <w:sz w:val="20"/>
          <w:szCs w:val="20"/>
        </w:rPr>
        <w:t>following the publication of the UN Special Rapporteur’s report</w:t>
      </w:r>
      <w:r w:rsidR="004436C4">
        <w:rPr>
          <w:sz w:val="20"/>
          <w:szCs w:val="20"/>
        </w:rPr>
        <w:t>s</w:t>
      </w:r>
      <w:r w:rsidR="00565BD8" w:rsidRPr="00DB2795">
        <w:rPr>
          <w:sz w:val="20"/>
          <w:szCs w:val="20"/>
        </w:rPr>
        <w:t xml:space="preserve">.  </w:t>
      </w:r>
      <w:r w:rsidR="00C7637E" w:rsidRPr="00DB2795">
        <w:rPr>
          <w:sz w:val="20"/>
          <w:szCs w:val="20"/>
        </w:rPr>
        <w:t>In general though, we have</w:t>
      </w:r>
      <w:r w:rsidR="00725D6B" w:rsidRPr="00DB2795">
        <w:rPr>
          <w:sz w:val="20"/>
          <w:szCs w:val="20"/>
        </w:rPr>
        <w:t xml:space="preserve"> strengthened civil society engagement with the respective rapporteurs</w:t>
      </w:r>
      <w:r w:rsidR="008323D2">
        <w:rPr>
          <w:sz w:val="20"/>
          <w:szCs w:val="20"/>
        </w:rPr>
        <w:t xml:space="preserve"> and have</w:t>
      </w:r>
      <w:r w:rsidR="00725D6B" w:rsidRPr="00DB2795">
        <w:rPr>
          <w:sz w:val="20"/>
          <w:szCs w:val="20"/>
        </w:rPr>
        <w:t xml:space="preserve"> increased the visibility for the representatives of </w:t>
      </w:r>
      <w:r w:rsidR="008323D2">
        <w:rPr>
          <w:sz w:val="20"/>
          <w:szCs w:val="20"/>
        </w:rPr>
        <w:t>the respective</w:t>
      </w:r>
      <w:r w:rsidR="00725D6B" w:rsidRPr="00DB2795">
        <w:rPr>
          <w:sz w:val="20"/>
          <w:szCs w:val="20"/>
        </w:rPr>
        <w:t xml:space="preserve"> Rapporteurs</w:t>
      </w:r>
      <w:r w:rsidR="00414099">
        <w:rPr>
          <w:sz w:val="20"/>
          <w:szCs w:val="20"/>
        </w:rPr>
        <w:t>’ offices, thereby</w:t>
      </w:r>
      <w:r w:rsidR="00725D6B" w:rsidRPr="00DB2795">
        <w:rPr>
          <w:sz w:val="20"/>
          <w:szCs w:val="20"/>
        </w:rPr>
        <w:t xml:space="preserve"> help</w:t>
      </w:r>
      <w:r w:rsidR="008323D2">
        <w:rPr>
          <w:sz w:val="20"/>
          <w:szCs w:val="20"/>
        </w:rPr>
        <w:t>ing</w:t>
      </w:r>
      <w:r w:rsidR="00D77C03">
        <w:rPr>
          <w:sz w:val="20"/>
          <w:szCs w:val="20"/>
        </w:rPr>
        <w:t xml:space="preserve"> </w:t>
      </w:r>
      <w:r w:rsidR="00725D6B" w:rsidRPr="00DB2795">
        <w:rPr>
          <w:sz w:val="20"/>
          <w:szCs w:val="20"/>
        </w:rPr>
        <w:t xml:space="preserve">them to gain additional co-funding for their work. </w:t>
      </w:r>
    </w:p>
    <w:p w:rsidR="00140BD7" w:rsidRPr="00DB2795" w:rsidRDefault="00140BD7" w:rsidP="006467DF">
      <w:pPr>
        <w:pStyle w:val="ListParagraph"/>
        <w:numPr>
          <w:ilvl w:val="0"/>
          <w:numId w:val="15"/>
        </w:numPr>
        <w:rPr>
          <w:b/>
          <w:sz w:val="20"/>
          <w:szCs w:val="20"/>
        </w:rPr>
      </w:pPr>
      <w:r w:rsidRPr="00DB2795">
        <w:rPr>
          <w:b/>
          <w:sz w:val="20"/>
          <w:szCs w:val="20"/>
        </w:rPr>
        <w:t>Support for the Parliamentary Assembly of the Council of Europe</w:t>
      </w:r>
    </w:p>
    <w:p w:rsidR="00633A56" w:rsidRPr="00DB2795" w:rsidRDefault="00633A56" w:rsidP="006467DF">
      <w:pPr>
        <w:rPr>
          <w:sz w:val="20"/>
          <w:szCs w:val="20"/>
        </w:rPr>
      </w:pPr>
      <w:r w:rsidRPr="00DB2795">
        <w:rPr>
          <w:sz w:val="20"/>
          <w:szCs w:val="20"/>
        </w:rPr>
        <w:t>Evidence shows that policy-makers and legislators need better quality, more balanced information in order to make good progressive decisions on media and</w:t>
      </w:r>
      <w:r w:rsidR="00C7637E" w:rsidRPr="00DB2795">
        <w:rPr>
          <w:sz w:val="20"/>
          <w:szCs w:val="20"/>
        </w:rPr>
        <w:t xml:space="preserve"> communications </w:t>
      </w:r>
      <w:r w:rsidRPr="00DB2795">
        <w:rPr>
          <w:sz w:val="20"/>
          <w:szCs w:val="20"/>
        </w:rPr>
        <w:t xml:space="preserve">law and policy, but </w:t>
      </w:r>
      <w:r w:rsidR="008E76E2" w:rsidRPr="00DB2795">
        <w:rPr>
          <w:sz w:val="20"/>
          <w:szCs w:val="20"/>
        </w:rPr>
        <w:t xml:space="preserve">finding the right mechanisms for supporting such efforts and achieving results is not always easy.  </w:t>
      </w:r>
    </w:p>
    <w:p w:rsidR="00337FC8" w:rsidRPr="00DB2795" w:rsidRDefault="00070407" w:rsidP="006467DF">
      <w:pPr>
        <w:rPr>
          <w:sz w:val="20"/>
          <w:szCs w:val="20"/>
        </w:rPr>
      </w:pPr>
      <w:r w:rsidRPr="00DB2795">
        <w:rPr>
          <w:sz w:val="20"/>
          <w:szCs w:val="20"/>
        </w:rPr>
        <w:t>In 2012</w:t>
      </w:r>
      <w:r w:rsidR="00E64006" w:rsidRPr="00DB2795">
        <w:rPr>
          <w:sz w:val="20"/>
          <w:szCs w:val="20"/>
        </w:rPr>
        <w:t>, the</w:t>
      </w:r>
      <w:r w:rsidRPr="00DB2795">
        <w:rPr>
          <w:sz w:val="20"/>
          <w:szCs w:val="20"/>
        </w:rPr>
        <w:t xml:space="preserve"> Program </w:t>
      </w:r>
      <w:r w:rsidR="0055233C" w:rsidRPr="00DB2795">
        <w:rPr>
          <w:sz w:val="20"/>
          <w:szCs w:val="20"/>
        </w:rPr>
        <w:t>supported two grants aimed at educating parliamentarians</w:t>
      </w:r>
      <w:r w:rsidR="00C7637E" w:rsidRPr="00DB2795">
        <w:rPr>
          <w:rStyle w:val="CommentReference"/>
          <w:sz w:val="20"/>
          <w:szCs w:val="20"/>
        </w:rPr>
        <w:t xml:space="preserve"> in</w:t>
      </w:r>
      <w:r w:rsidR="0055233C" w:rsidRPr="00DB2795">
        <w:rPr>
          <w:sz w:val="20"/>
          <w:szCs w:val="20"/>
        </w:rPr>
        <w:t xml:space="preserve"> Europe</w:t>
      </w:r>
      <w:r w:rsidRPr="00DB2795">
        <w:rPr>
          <w:sz w:val="20"/>
          <w:szCs w:val="20"/>
        </w:rPr>
        <w:t xml:space="preserve"> through the Parliamentary Assembly of the Council of Europe</w:t>
      </w:r>
      <w:r w:rsidR="0055233C" w:rsidRPr="00DB2795">
        <w:rPr>
          <w:sz w:val="20"/>
          <w:szCs w:val="20"/>
        </w:rPr>
        <w:t xml:space="preserve">, </w:t>
      </w:r>
      <w:r w:rsidR="00FF1721" w:rsidRPr="00DB2795">
        <w:rPr>
          <w:sz w:val="20"/>
          <w:szCs w:val="20"/>
        </w:rPr>
        <w:t xml:space="preserve"> with the expectation that such efforts </w:t>
      </w:r>
      <w:r w:rsidR="0055233C" w:rsidRPr="00DB2795">
        <w:rPr>
          <w:sz w:val="20"/>
          <w:szCs w:val="20"/>
        </w:rPr>
        <w:t xml:space="preserve">might lead to improving parliamentarians’ skills in reviewing and passing more progressive media regulation. </w:t>
      </w:r>
      <w:r w:rsidR="00FF1721" w:rsidRPr="00DB2795">
        <w:rPr>
          <w:sz w:val="20"/>
          <w:szCs w:val="20"/>
        </w:rPr>
        <w:t xml:space="preserve">These </w:t>
      </w:r>
      <w:r w:rsidR="005850D9" w:rsidRPr="00DB2795">
        <w:rPr>
          <w:sz w:val="20"/>
          <w:szCs w:val="20"/>
        </w:rPr>
        <w:t>grant</w:t>
      </w:r>
      <w:r w:rsidR="00FF1721" w:rsidRPr="00DB2795">
        <w:rPr>
          <w:sz w:val="20"/>
          <w:szCs w:val="20"/>
        </w:rPr>
        <w:t>s included</w:t>
      </w:r>
      <w:r w:rsidR="005850D9" w:rsidRPr="00DB2795">
        <w:rPr>
          <w:sz w:val="20"/>
          <w:szCs w:val="20"/>
        </w:rPr>
        <w:t xml:space="preserve"> </w:t>
      </w:r>
      <w:r w:rsidR="00FF1721" w:rsidRPr="00DB2795">
        <w:rPr>
          <w:sz w:val="20"/>
          <w:szCs w:val="20"/>
        </w:rPr>
        <w:t>support for</w:t>
      </w:r>
      <w:r w:rsidR="00184E88" w:rsidRPr="00DB2795">
        <w:rPr>
          <w:sz w:val="20"/>
          <w:szCs w:val="20"/>
        </w:rPr>
        <w:t xml:space="preserve"> two meetings</w:t>
      </w:r>
      <w:r w:rsidR="00E64006" w:rsidRPr="00DB2795">
        <w:rPr>
          <w:sz w:val="20"/>
          <w:szCs w:val="20"/>
        </w:rPr>
        <w:t>:</w:t>
      </w:r>
      <w:r w:rsidR="00184E88" w:rsidRPr="00DB2795">
        <w:rPr>
          <w:sz w:val="20"/>
          <w:szCs w:val="20"/>
        </w:rPr>
        <w:t xml:space="preserve"> a seminar on the role of public service broadcasting in Southe</w:t>
      </w:r>
      <w:r w:rsidR="00337FC8" w:rsidRPr="00DB2795">
        <w:rPr>
          <w:sz w:val="20"/>
          <w:szCs w:val="20"/>
        </w:rPr>
        <w:t>ast Europe</w:t>
      </w:r>
      <w:r w:rsidR="00184E88" w:rsidRPr="00DB2795">
        <w:rPr>
          <w:sz w:val="20"/>
          <w:szCs w:val="20"/>
        </w:rPr>
        <w:t xml:space="preserve"> (as a follow-up to the</w:t>
      </w:r>
      <w:r w:rsidR="005850D9" w:rsidRPr="00DB2795">
        <w:rPr>
          <w:sz w:val="20"/>
          <w:szCs w:val="20"/>
        </w:rPr>
        <w:t xml:space="preserve"> Mapping Digital Media project, </w:t>
      </w:r>
      <w:r w:rsidR="00184E88" w:rsidRPr="00DB2795">
        <w:rPr>
          <w:sz w:val="20"/>
          <w:szCs w:val="20"/>
        </w:rPr>
        <w:t>although funded through the freedom of expression portfolio</w:t>
      </w:r>
      <w:r w:rsidR="00FF1721" w:rsidRPr="00DB2795">
        <w:rPr>
          <w:sz w:val="20"/>
          <w:szCs w:val="20"/>
        </w:rPr>
        <w:t>)</w:t>
      </w:r>
      <w:r w:rsidR="00E64006" w:rsidRPr="00DB2795">
        <w:rPr>
          <w:sz w:val="20"/>
          <w:szCs w:val="20"/>
        </w:rPr>
        <w:t>,</w:t>
      </w:r>
      <w:r w:rsidR="00FF1721" w:rsidRPr="00DB2795">
        <w:rPr>
          <w:sz w:val="20"/>
          <w:szCs w:val="20"/>
        </w:rPr>
        <w:t xml:space="preserve"> </w:t>
      </w:r>
      <w:r w:rsidR="00AC6CEF" w:rsidRPr="00DB2795">
        <w:rPr>
          <w:sz w:val="20"/>
          <w:szCs w:val="20"/>
        </w:rPr>
        <w:t xml:space="preserve">and </w:t>
      </w:r>
      <w:r w:rsidR="00FF1721" w:rsidRPr="00DB2795">
        <w:rPr>
          <w:sz w:val="20"/>
          <w:szCs w:val="20"/>
        </w:rPr>
        <w:t xml:space="preserve">an event </w:t>
      </w:r>
      <w:r w:rsidR="00E64006" w:rsidRPr="00DB2795">
        <w:rPr>
          <w:sz w:val="20"/>
          <w:szCs w:val="20"/>
        </w:rPr>
        <w:t>to</w:t>
      </w:r>
      <w:r w:rsidR="00FF1721" w:rsidRPr="00DB2795">
        <w:rPr>
          <w:sz w:val="20"/>
          <w:szCs w:val="20"/>
        </w:rPr>
        <w:t xml:space="preserve"> inform parliamentarians in Europe on key developments on media and Internet regulation and the state of media freedom in select</w:t>
      </w:r>
      <w:r w:rsidR="00E64006" w:rsidRPr="00DB2795">
        <w:rPr>
          <w:sz w:val="20"/>
          <w:szCs w:val="20"/>
        </w:rPr>
        <w:t>ed</w:t>
      </w:r>
      <w:r w:rsidR="00FF1721" w:rsidRPr="00DB2795">
        <w:rPr>
          <w:sz w:val="20"/>
          <w:szCs w:val="20"/>
        </w:rPr>
        <w:t xml:space="preserve"> countries.</w:t>
      </w:r>
      <w:r w:rsidR="00AC6CEF" w:rsidRPr="00DB2795">
        <w:rPr>
          <w:sz w:val="20"/>
          <w:szCs w:val="20"/>
        </w:rPr>
        <w:t xml:space="preserve"> </w:t>
      </w:r>
    </w:p>
    <w:p w:rsidR="00D77605" w:rsidRPr="00DB2795" w:rsidRDefault="00337FC8" w:rsidP="006467DF">
      <w:pPr>
        <w:rPr>
          <w:sz w:val="20"/>
          <w:szCs w:val="20"/>
        </w:rPr>
      </w:pPr>
      <w:r w:rsidRPr="00DB2795">
        <w:rPr>
          <w:sz w:val="20"/>
          <w:szCs w:val="20"/>
        </w:rPr>
        <w:t xml:space="preserve">These meetings were meant to be developed jointly </w:t>
      </w:r>
      <w:r w:rsidR="00E64006" w:rsidRPr="00DB2795">
        <w:rPr>
          <w:sz w:val="20"/>
          <w:szCs w:val="20"/>
        </w:rPr>
        <w:t xml:space="preserve">by </w:t>
      </w:r>
      <w:r w:rsidRPr="00DB2795">
        <w:rPr>
          <w:sz w:val="20"/>
          <w:szCs w:val="20"/>
        </w:rPr>
        <w:t xml:space="preserve">PIJ staff and PACE. However, it has been difficult to ascertain how </w:t>
      </w:r>
      <w:r w:rsidR="00E64006" w:rsidRPr="00DB2795">
        <w:rPr>
          <w:sz w:val="20"/>
          <w:szCs w:val="20"/>
        </w:rPr>
        <w:t xml:space="preserve">far </w:t>
      </w:r>
      <w:r w:rsidRPr="00DB2795">
        <w:rPr>
          <w:sz w:val="20"/>
          <w:szCs w:val="20"/>
        </w:rPr>
        <w:t xml:space="preserve">our interventions actually </w:t>
      </w:r>
      <w:r w:rsidR="00E64006" w:rsidRPr="00DB2795">
        <w:rPr>
          <w:sz w:val="20"/>
          <w:szCs w:val="20"/>
        </w:rPr>
        <w:t xml:space="preserve">educated </w:t>
      </w:r>
      <w:r w:rsidRPr="00DB2795">
        <w:rPr>
          <w:sz w:val="20"/>
          <w:szCs w:val="20"/>
        </w:rPr>
        <w:t>parliamentarians in a</w:t>
      </w:r>
      <w:r w:rsidR="00251FDD" w:rsidRPr="00DB2795">
        <w:rPr>
          <w:sz w:val="20"/>
          <w:szCs w:val="20"/>
        </w:rPr>
        <w:t xml:space="preserve"> manner which would ensure that they </w:t>
      </w:r>
      <w:r w:rsidR="00E64006" w:rsidRPr="00DB2795">
        <w:rPr>
          <w:sz w:val="20"/>
          <w:szCs w:val="20"/>
        </w:rPr>
        <w:t xml:space="preserve">could </w:t>
      </w:r>
      <w:r w:rsidR="00251FDD" w:rsidRPr="00DB2795">
        <w:rPr>
          <w:sz w:val="20"/>
          <w:szCs w:val="20"/>
        </w:rPr>
        <w:t xml:space="preserve">take home “lessons learned” and apply them in practice. There is a </w:t>
      </w:r>
      <w:r w:rsidR="00E64006" w:rsidRPr="00DB2795">
        <w:rPr>
          <w:sz w:val="20"/>
          <w:szCs w:val="20"/>
        </w:rPr>
        <w:t xml:space="preserve">clear need for such education, and clear </w:t>
      </w:r>
      <w:r w:rsidR="00251FDD" w:rsidRPr="00DB2795">
        <w:rPr>
          <w:sz w:val="20"/>
          <w:szCs w:val="20"/>
        </w:rPr>
        <w:t xml:space="preserve">potential </w:t>
      </w:r>
      <w:r w:rsidR="00E64006" w:rsidRPr="00DB2795">
        <w:rPr>
          <w:sz w:val="20"/>
          <w:szCs w:val="20"/>
        </w:rPr>
        <w:t>benefits to be gained</w:t>
      </w:r>
      <w:r w:rsidR="00251FDD" w:rsidRPr="00DB2795">
        <w:rPr>
          <w:sz w:val="20"/>
          <w:szCs w:val="20"/>
        </w:rPr>
        <w:t>, but we will need to find a way to harness this inte</w:t>
      </w:r>
      <w:r w:rsidR="00AC6CEF" w:rsidRPr="00DB2795">
        <w:rPr>
          <w:sz w:val="20"/>
          <w:szCs w:val="20"/>
        </w:rPr>
        <w:t xml:space="preserve">rest and capitalize it to make </w:t>
      </w:r>
      <w:r w:rsidR="00251FDD" w:rsidRPr="00DB2795">
        <w:rPr>
          <w:sz w:val="20"/>
          <w:szCs w:val="20"/>
        </w:rPr>
        <w:t xml:space="preserve">interventions useful in the future. </w:t>
      </w:r>
    </w:p>
    <w:p w:rsidR="00561EC5" w:rsidRDefault="00725D6B" w:rsidP="00D24FED">
      <w:pPr>
        <w:pStyle w:val="Heading6"/>
        <w:numPr>
          <w:ilvl w:val="0"/>
          <w:numId w:val="23"/>
        </w:numPr>
        <w:rPr>
          <w:sz w:val="20"/>
          <w:szCs w:val="20"/>
        </w:rPr>
      </w:pPr>
      <w:r w:rsidRPr="00DB2795">
        <w:rPr>
          <w:sz w:val="20"/>
          <w:szCs w:val="20"/>
        </w:rPr>
        <w:t xml:space="preserve">Safety and protection </w:t>
      </w:r>
      <w:r w:rsidR="00561EC5" w:rsidRPr="00DB2795">
        <w:rPr>
          <w:sz w:val="20"/>
          <w:szCs w:val="20"/>
        </w:rPr>
        <w:t xml:space="preserve">mechanisms </w:t>
      </w:r>
      <w:r w:rsidRPr="00DB2795">
        <w:rPr>
          <w:sz w:val="20"/>
          <w:szCs w:val="20"/>
        </w:rPr>
        <w:t>for journalists</w:t>
      </w:r>
      <w:r w:rsidR="00561EC5" w:rsidRPr="00DB2795">
        <w:rPr>
          <w:sz w:val="20"/>
          <w:szCs w:val="20"/>
        </w:rPr>
        <w:t xml:space="preserve"> </w:t>
      </w:r>
    </w:p>
    <w:p w:rsidR="00232CC1" w:rsidRPr="00DB2795" w:rsidRDefault="00232CC1" w:rsidP="004436C4">
      <w:pPr>
        <w:pBdr>
          <w:top w:val="single" w:sz="4" w:space="1" w:color="auto"/>
          <w:left w:val="single" w:sz="4" w:space="4" w:color="auto"/>
          <w:bottom w:val="single" w:sz="4" w:space="1" w:color="auto"/>
          <w:right w:val="single" w:sz="4" w:space="4" w:color="auto"/>
        </w:pBdr>
        <w:rPr>
          <w:b/>
          <w:color w:val="000000" w:themeColor="text1"/>
          <w:sz w:val="20"/>
          <w:szCs w:val="20"/>
        </w:rPr>
      </w:pPr>
      <w:r w:rsidRPr="00DB2795">
        <w:rPr>
          <w:b/>
          <w:color w:val="000000" w:themeColor="text1"/>
          <w:sz w:val="20"/>
          <w:szCs w:val="20"/>
        </w:rPr>
        <w:t xml:space="preserve">Grantees: </w:t>
      </w:r>
      <w:r w:rsidR="00774FFB" w:rsidRPr="00DB2795">
        <w:rPr>
          <w:b/>
          <w:color w:val="000000" w:themeColor="text1"/>
          <w:sz w:val="20"/>
          <w:szCs w:val="20"/>
        </w:rPr>
        <w:tab/>
      </w:r>
      <w:r w:rsidR="00774FFB" w:rsidRPr="00DB2795">
        <w:rPr>
          <w:b/>
          <w:color w:val="000000" w:themeColor="text1"/>
          <w:sz w:val="20"/>
          <w:szCs w:val="20"/>
        </w:rPr>
        <w:tab/>
      </w:r>
      <w:r w:rsidRPr="00DB2795">
        <w:rPr>
          <w:b/>
          <w:color w:val="000000" w:themeColor="text1"/>
          <w:sz w:val="20"/>
          <w:szCs w:val="20"/>
        </w:rPr>
        <w:t>Article 19 Mexico, International Media Support, University of Sheffield</w:t>
      </w:r>
      <w:r w:rsidRPr="00DB2795">
        <w:rPr>
          <w:b/>
          <w:color w:val="000000" w:themeColor="text1"/>
          <w:sz w:val="20"/>
          <w:szCs w:val="20"/>
        </w:rPr>
        <w:br/>
      </w:r>
      <w:r w:rsidR="00510138" w:rsidRPr="00DB2795">
        <w:rPr>
          <w:b/>
          <w:color w:val="000000" w:themeColor="text1"/>
          <w:sz w:val="20"/>
          <w:szCs w:val="20"/>
        </w:rPr>
        <w:t xml:space="preserve">Program </w:t>
      </w:r>
      <w:r w:rsidRPr="00DB2795">
        <w:rPr>
          <w:b/>
          <w:color w:val="000000" w:themeColor="text1"/>
          <w:sz w:val="20"/>
          <w:szCs w:val="20"/>
        </w:rPr>
        <w:t xml:space="preserve">funding: </w:t>
      </w:r>
      <w:r w:rsidR="00774FFB" w:rsidRPr="00DB2795">
        <w:rPr>
          <w:b/>
          <w:color w:val="000000" w:themeColor="text1"/>
          <w:sz w:val="20"/>
          <w:szCs w:val="20"/>
        </w:rPr>
        <w:tab/>
      </w:r>
      <w:r w:rsidR="0081789F" w:rsidRPr="00DB2795">
        <w:rPr>
          <w:b/>
          <w:color w:val="000000" w:themeColor="text1"/>
          <w:sz w:val="20"/>
          <w:szCs w:val="20"/>
        </w:rPr>
        <w:t>$</w:t>
      </w:r>
      <w:r w:rsidR="00F65A60" w:rsidRPr="00DB2795">
        <w:rPr>
          <w:b/>
          <w:color w:val="000000" w:themeColor="text1"/>
          <w:sz w:val="20"/>
          <w:szCs w:val="20"/>
        </w:rPr>
        <w:t>375,000</w:t>
      </w:r>
      <w:r w:rsidR="0081789F" w:rsidRPr="00DB2795">
        <w:rPr>
          <w:b/>
          <w:color w:val="000000" w:themeColor="text1"/>
          <w:sz w:val="20"/>
          <w:szCs w:val="20"/>
        </w:rPr>
        <w:t xml:space="preserve"> </w:t>
      </w:r>
    </w:p>
    <w:p w:rsidR="004643CE" w:rsidRPr="00DB2795" w:rsidRDefault="00E64006" w:rsidP="006467DF">
      <w:pPr>
        <w:rPr>
          <w:sz w:val="20"/>
          <w:szCs w:val="20"/>
        </w:rPr>
      </w:pPr>
      <w:r w:rsidRPr="00DB2795">
        <w:rPr>
          <w:sz w:val="20"/>
          <w:szCs w:val="20"/>
        </w:rPr>
        <w:t>A</w:t>
      </w:r>
      <w:r w:rsidR="004643CE" w:rsidRPr="00DB2795">
        <w:rPr>
          <w:sz w:val="20"/>
          <w:szCs w:val="20"/>
        </w:rPr>
        <w:t xml:space="preserve"> number of organizations </w:t>
      </w:r>
      <w:r w:rsidR="00260F28" w:rsidRPr="00DB2795">
        <w:rPr>
          <w:sz w:val="20"/>
          <w:szCs w:val="20"/>
        </w:rPr>
        <w:t>operating globally</w:t>
      </w:r>
      <w:r w:rsidR="00AC6CEF" w:rsidRPr="00DB2795">
        <w:rPr>
          <w:sz w:val="20"/>
          <w:szCs w:val="20"/>
        </w:rPr>
        <w:t xml:space="preserve"> </w:t>
      </w:r>
      <w:r w:rsidR="00260F28" w:rsidRPr="00DB2795">
        <w:rPr>
          <w:sz w:val="20"/>
          <w:szCs w:val="20"/>
        </w:rPr>
        <w:t>support the development of safety tools and trainings to protect journalists</w:t>
      </w:r>
      <w:r w:rsidR="00D451E9" w:rsidRPr="00DB2795">
        <w:rPr>
          <w:sz w:val="20"/>
          <w:szCs w:val="20"/>
        </w:rPr>
        <w:t>, including the</w:t>
      </w:r>
      <w:r w:rsidR="004F73E6" w:rsidRPr="00DB2795">
        <w:rPr>
          <w:sz w:val="20"/>
          <w:szCs w:val="20"/>
        </w:rPr>
        <w:t xml:space="preserve"> International News and Safety</w:t>
      </w:r>
      <w:r w:rsidR="00260F28" w:rsidRPr="00DB2795">
        <w:rPr>
          <w:sz w:val="20"/>
          <w:szCs w:val="20"/>
        </w:rPr>
        <w:t xml:space="preserve"> Institute</w:t>
      </w:r>
      <w:r w:rsidR="00FF1721" w:rsidRPr="00DB2795">
        <w:rPr>
          <w:sz w:val="20"/>
          <w:szCs w:val="20"/>
        </w:rPr>
        <w:t>, the International Federation of Journalists, the Committee to Protect Journalists and the Rory Peck Trust</w:t>
      </w:r>
      <w:r w:rsidR="00D451E9" w:rsidRPr="00DB2795">
        <w:rPr>
          <w:sz w:val="20"/>
          <w:szCs w:val="20"/>
        </w:rPr>
        <w:t>. The PIJ</w:t>
      </w:r>
      <w:r w:rsidR="004F73E6" w:rsidRPr="00DB2795">
        <w:rPr>
          <w:sz w:val="20"/>
          <w:szCs w:val="20"/>
        </w:rPr>
        <w:t xml:space="preserve"> </w:t>
      </w:r>
      <w:r w:rsidR="00414099">
        <w:rPr>
          <w:sz w:val="20"/>
          <w:szCs w:val="20"/>
        </w:rPr>
        <w:t>continues</w:t>
      </w:r>
      <w:r w:rsidR="00260F28" w:rsidRPr="00DB2795">
        <w:rPr>
          <w:sz w:val="20"/>
          <w:szCs w:val="20"/>
        </w:rPr>
        <w:t xml:space="preserve"> to support </w:t>
      </w:r>
      <w:r w:rsidR="00414099">
        <w:rPr>
          <w:sz w:val="20"/>
          <w:szCs w:val="20"/>
        </w:rPr>
        <w:t>their</w:t>
      </w:r>
      <w:r w:rsidR="004436C4">
        <w:rPr>
          <w:sz w:val="20"/>
          <w:szCs w:val="20"/>
        </w:rPr>
        <w:t xml:space="preserve"> work.</w:t>
      </w:r>
      <w:r w:rsidR="00A933F1" w:rsidRPr="00DB2795">
        <w:rPr>
          <w:sz w:val="20"/>
          <w:szCs w:val="20"/>
        </w:rPr>
        <w:t xml:space="preserve"> S</w:t>
      </w:r>
      <w:r w:rsidR="00D451E9" w:rsidRPr="00DB2795">
        <w:rPr>
          <w:sz w:val="20"/>
          <w:szCs w:val="20"/>
        </w:rPr>
        <w:t>ince 2012</w:t>
      </w:r>
      <w:r w:rsidR="00A933F1" w:rsidRPr="00DB2795">
        <w:rPr>
          <w:sz w:val="20"/>
          <w:szCs w:val="20"/>
        </w:rPr>
        <w:t xml:space="preserve">, </w:t>
      </w:r>
      <w:r w:rsidR="00414099">
        <w:rPr>
          <w:sz w:val="20"/>
          <w:szCs w:val="20"/>
        </w:rPr>
        <w:t xml:space="preserve">however, </w:t>
      </w:r>
      <w:r w:rsidR="00A933F1" w:rsidRPr="00DB2795">
        <w:rPr>
          <w:sz w:val="20"/>
          <w:szCs w:val="20"/>
        </w:rPr>
        <w:t>we have</w:t>
      </w:r>
      <w:r w:rsidR="00804FFD" w:rsidRPr="00DB2795">
        <w:rPr>
          <w:sz w:val="20"/>
          <w:szCs w:val="20"/>
        </w:rPr>
        <w:t xml:space="preserve"> placed a</w:t>
      </w:r>
      <w:r w:rsidR="001934A0" w:rsidRPr="00DB2795">
        <w:rPr>
          <w:sz w:val="20"/>
          <w:szCs w:val="20"/>
        </w:rPr>
        <w:t xml:space="preserve"> particular </w:t>
      </w:r>
      <w:r w:rsidR="00804FFD" w:rsidRPr="00DB2795">
        <w:rPr>
          <w:sz w:val="20"/>
          <w:szCs w:val="20"/>
        </w:rPr>
        <w:t>emphasis</w:t>
      </w:r>
      <w:r w:rsidR="00C7637E" w:rsidRPr="00DB2795">
        <w:rPr>
          <w:rStyle w:val="CommentReference"/>
          <w:sz w:val="20"/>
          <w:szCs w:val="20"/>
        </w:rPr>
        <w:t xml:space="preserve"> on</w:t>
      </w:r>
      <w:r w:rsidR="001934A0" w:rsidRPr="00DB2795">
        <w:rPr>
          <w:sz w:val="20"/>
          <w:szCs w:val="20"/>
        </w:rPr>
        <w:t xml:space="preserve"> developing and promoting not </w:t>
      </w:r>
      <w:r w:rsidR="00260F28" w:rsidRPr="00DB2795">
        <w:rPr>
          <w:sz w:val="20"/>
          <w:szCs w:val="20"/>
        </w:rPr>
        <w:t>only tools</w:t>
      </w:r>
      <w:r w:rsidR="001934A0" w:rsidRPr="00DB2795">
        <w:rPr>
          <w:sz w:val="20"/>
          <w:szCs w:val="20"/>
        </w:rPr>
        <w:t xml:space="preserve"> but </w:t>
      </w:r>
      <w:r w:rsidR="00A933F1" w:rsidRPr="00DB2795">
        <w:rPr>
          <w:sz w:val="20"/>
          <w:szCs w:val="20"/>
        </w:rPr>
        <w:t xml:space="preserve">also </w:t>
      </w:r>
      <w:r w:rsidR="00804FFD" w:rsidRPr="00DB2795">
        <w:rPr>
          <w:sz w:val="20"/>
          <w:szCs w:val="20"/>
        </w:rPr>
        <w:t>laws, which would require governments to</w:t>
      </w:r>
      <w:r w:rsidR="001934A0" w:rsidRPr="00DB2795">
        <w:rPr>
          <w:sz w:val="20"/>
          <w:szCs w:val="20"/>
        </w:rPr>
        <w:t xml:space="preserve"> </w:t>
      </w:r>
      <w:r w:rsidR="00260F28" w:rsidRPr="00DB2795">
        <w:rPr>
          <w:sz w:val="20"/>
          <w:szCs w:val="20"/>
        </w:rPr>
        <w:t>provide funding and resources to protect journalists</w:t>
      </w:r>
      <w:r w:rsidR="00804FFD" w:rsidRPr="00DB2795">
        <w:rPr>
          <w:sz w:val="20"/>
          <w:szCs w:val="20"/>
        </w:rPr>
        <w:t>, particularly important given PIJ’s and other donors’ limited funding.</w:t>
      </w:r>
      <w:r w:rsidR="00A933F1" w:rsidRPr="00DB2795">
        <w:rPr>
          <w:sz w:val="20"/>
          <w:szCs w:val="20"/>
        </w:rPr>
        <w:t xml:space="preserve"> </w:t>
      </w:r>
      <w:r w:rsidR="00D03881" w:rsidRPr="00DB2795">
        <w:rPr>
          <w:sz w:val="20"/>
          <w:szCs w:val="20"/>
        </w:rPr>
        <w:t>Much of this builds also upon the work of the Special Rapporteurs, who have called for the esta</w:t>
      </w:r>
      <w:r w:rsidR="004436C4">
        <w:rPr>
          <w:sz w:val="20"/>
          <w:szCs w:val="20"/>
        </w:rPr>
        <w:t>blishment of similar mechanisms.</w:t>
      </w:r>
    </w:p>
    <w:p w:rsidR="00A933F1" w:rsidRPr="00DB2795" w:rsidRDefault="00160E7B" w:rsidP="006467DF">
      <w:pPr>
        <w:rPr>
          <w:color w:val="000000" w:themeColor="text1"/>
          <w:sz w:val="20"/>
          <w:szCs w:val="20"/>
        </w:rPr>
      </w:pPr>
      <w:r w:rsidRPr="00DB2795">
        <w:rPr>
          <w:sz w:val="20"/>
          <w:szCs w:val="20"/>
        </w:rPr>
        <w:t>During the grant period in question</w:t>
      </w:r>
      <w:r w:rsidR="00A933F1" w:rsidRPr="00DB2795">
        <w:rPr>
          <w:sz w:val="20"/>
          <w:szCs w:val="20"/>
        </w:rPr>
        <w:t>, the</w:t>
      </w:r>
      <w:r w:rsidRPr="00DB2795">
        <w:rPr>
          <w:sz w:val="20"/>
          <w:szCs w:val="20"/>
        </w:rPr>
        <w:t xml:space="preserve"> </w:t>
      </w:r>
      <w:r w:rsidR="00561EC5" w:rsidRPr="00DB2795">
        <w:rPr>
          <w:sz w:val="20"/>
          <w:szCs w:val="20"/>
        </w:rPr>
        <w:t xml:space="preserve">Program supported three organizations </w:t>
      </w:r>
      <w:r w:rsidR="00D03881" w:rsidRPr="00DB2795">
        <w:rPr>
          <w:color w:val="000000" w:themeColor="text1"/>
          <w:sz w:val="20"/>
          <w:szCs w:val="20"/>
        </w:rPr>
        <w:t>on broader safety initiatives, but including key components on legal reform</w:t>
      </w:r>
      <w:r w:rsidR="00D03881" w:rsidRPr="00DB2795">
        <w:rPr>
          <w:sz w:val="20"/>
          <w:szCs w:val="20"/>
        </w:rPr>
        <w:t xml:space="preserve">, including </w:t>
      </w:r>
      <w:r w:rsidR="00561EC5" w:rsidRPr="00DB2795">
        <w:rPr>
          <w:sz w:val="20"/>
          <w:szCs w:val="20"/>
        </w:rPr>
        <w:t xml:space="preserve">Article 19 Mexico, </w:t>
      </w:r>
      <w:r w:rsidR="00561EC5" w:rsidRPr="00DB2795">
        <w:rPr>
          <w:color w:val="000000" w:themeColor="text1"/>
          <w:sz w:val="20"/>
          <w:szCs w:val="20"/>
        </w:rPr>
        <w:t xml:space="preserve">International Media Support </w:t>
      </w:r>
      <w:r w:rsidR="00A933F1" w:rsidRPr="00DB2795">
        <w:rPr>
          <w:color w:val="000000" w:themeColor="text1"/>
          <w:sz w:val="20"/>
          <w:szCs w:val="20"/>
        </w:rPr>
        <w:t>(</w:t>
      </w:r>
      <w:r w:rsidR="00561EC5" w:rsidRPr="00DB2795">
        <w:rPr>
          <w:color w:val="000000" w:themeColor="text1"/>
          <w:sz w:val="20"/>
          <w:szCs w:val="20"/>
        </w:rPr>
        <w:t>Denmark</w:t>
      </w:r>
      <w:r w:rsidR="00A933F1" w:rsidRPr="00DB2795">
        <w:rPr>
          <w:color w:val="000000" w:themeColor="text1"/>
          <w:sz w:val="20"/>
          <w:szCs w:val="20"/>
        </w:rPr>
        <w:t>),</w:t>
      </w:r>
      <w:r w:rsidR="00561EC5" w:rsidRPr="00DB2795">
        <w:rPr>
          <w:color w:val="000000" w:themeColor="text1"/>
          <w:sz w:val="20"/>
          <w:szCs w:val="20"/>
        </w:rPr>
        <w:t xml:space="preserve"> and the Center for Freedom of the Media </w:t>
      </w:r>
      <w:r w:rsidR="00A933F1" w:rsidRPr="00DB2795">
        <w:rPr>
          <w:color w:val="000000" w:themeColor="text1"/>
          <w:sz w:val="20"/>
          <w:szCs w:val="20"/>
        </w:rPr>
        <w:t>(</w:t>
      </w:r>
      <w:r w:rsidR="00561EC5" w:rsidRPr="00DB2795">
        <w:rPr>
          <w:color w:val="000000" w:themeColor="text1"/>
          <w:sz w:val="20"/>
          <w:szCs w:val="20"/>
        </w:rPr>
        <w:t>Sheffield University</w:t>
      </w:r>
      <w:r w:rsidR="00A933F1" w:rsidRPr="00DB2795">
        <w:rPr>
          <w:color w:val="000000" w:themeColor="text1"/>
          <w:sz w:val="20"/>
          <w:szCs w:val="20"/>
        </w:rPr>
        <w:t>)</w:t>
      </w:r>
      <w:r w:rsidR="00D03881" w:rsidRPr="00DB2795">
        <w:rPr>
          <w:color w:val="000000" w:themeColor="text1"/>
          <w:sz w:val="20"/>
          <w:szCs w:val="20"/>
        </w:rPr>
        <w:t>.</w:t>
      </w:r>
    </w:p>
    <w:p w:rsidR="00561EC5" w:rsidRPr="00DB2795" w:rsidRDefault="00561EC5" w:rsidP="006467DF">
      <w:pPr>
        <w:rPr>
          <w:sz w:val="20"/>
          <w:szCs w:val="20"/>
        </w:rPr>
      </w:pPr>
      <w:r w:rsidRPr="00DB2795">
        <w:rPr>
          <w:sz w:val="20"/>
          <w:szCs w:val="20"/>
        </w:rPr>
        <w:t>While the main Article 19 office in London has been in a period of transition</w:t>
      </w:r>
      <w:r w:rsidR="003066DB" w:rsidRPr="00DB2795">
        <w:rPr>
          <w:sz w:val="20"/>
          <w:szCs w:val="20"/>
        </w:rPr>
        <w:t xml:space="preserve">, the office in Mexico has developed </w:t>
      </w:r>
      <w:r w:rsidR="00A933F1" w:rsidRPr="00DB2795">
        <w:rPr>
          <w:sz w:val="20"/>
          <w:szCs w:val="20"/>
        </w:rPr>
        <w:t>into</w:t>
      </w:r>
      <w:r w:rsidR="00C231F7" w:rsidRPr="00DB2795">
        <w:rPr>
          <w:sz w:val="20"/>
          <w:szCs w:val="20"/>
        </w:rPr>
        <w:t xml:space="preserve"> a global</w:t>
      </w:r>
      <w:r w:rsidR="003066DB" w:rsidRPr="00DB2795">
        <w:rPr>
          <w:sz w:val="20"/>
          <w:szCs w:val="20"/>
        </w:rPr>
        <w:t xml:space="preserve"> leader </w:t>
      </w:r>
      <w:r w:rsidR="004436C4">
        <w:rPr>
          <w:sz w:val="20"/>
          <w:szCs w:val="20"/>
        </w:rPr>
        <w:t>in the area of safety, p</w:t>
      </w:r>
      <w:r w:rsidR="005850D9" w:rsidRPr="00DB2795">
        <w:rPr>
          <w:sz w:val="20"/>
          <w:szCs w:val="20"/>
        </w:rPr>
        <w:t xml:space="preserve">roviding </w:t>
      </w:r>
      <w:r w:rsidR="00804FFD" w:rsidRPr="00DB2795">
        <w:rPr>
          <w:sz w:val="20"/>
          <w:szCs w:val="20"/>
        </w:rPr>
        <w:t xml:space="preserve">safety </w:t>
      </w:r>
      <w:r w:rsidR="005850D9" w:rsidRPr="00DB2795">
        <w:rPr>
          <w:sz w:val="20"/>
          <w:szCs w:val="20"/>
        </w:rPr>
        <w:t xml:space="preserve">advice and training </w:t>
      </w:r>
      <w:r w:rsidR="00D03881" w:rsidRPr="00DB2795">
        <w:rPr>
          <w:sz w:val="20"/>
          <w:szCs w:val="20"/>
        </w:rPr>
        <w:t xml:space="preserve">to </w:t>
      </w:r>
      <w:r w:rsidR="005850D9" w:rsidRPr="00DB2795">
        <w:rPr>
          <w:sz w:val="20"/>
          <w:szCs w:val="20"/>
        </w:rPr>
        <w:t>its offices around the world and other organizations as well</w:t>
      </w:r>
      <w:r w:rsidR="003066DB" w:rsidRPr="00DB2795">
        <w:rPr>
          <w:sz w:val="20"/>
          <w:szCs w:val="20"/>
        </w:rPr>
        <w:t xml:space="preserve">. </w:t>
      </w:r>
      <w:r w:rsidR="00232CC1" w:rsidRPr="00DB2795">
        <w:rPr>
          <w:sz w:val="20"/>
          <w:szCs w:val="20"/>
        </w:rPr>
        <w:t xml:space="preserve">The </w:t>
      </w:r>
      <w:r w:rsidR="003066DB" w:rsidRPr="00DB2795">
        <w:rPr>
          <w:sz w:val="20"/>
          <w:szCs w:val="20"/>
        </w:rPr>
        <w:t xml:space="preserve">PIJ </w:t>
      </w:r>
      <w:r w:rsidR="00232CC1" w:rsidRPr="00DB2795">
        <w:rPr>
          <w:sz w:val="20"/>
          <w:szCs w:val="20"/>
        </w:rPr>
        <w:t>has provided substantial funding and support to Article 19 Mexic</w:t>
      </w:r>
      <w:r w:rsidR="00C7637E" w:rsidRPr="00DB2795">
        <w:rPr>
          <w:sz w:val="20"/>
          <w:szCs w:val="20"/>
        </w:rPr>
        <w:t>o</w:t>
      </w:r>
      <w:r w:rsidR="00232CC1" w:rsidRPr="00DB2795">
        <w:rPr>
          <w:sz w:val="20"/>
          <w:szCs w:val="20"/>
        </w:rPr>
        <w:t>, including</w:t>
      </w:r>
      <w:r w:rsidR="00414099">
        <w:rPr>
          <w:sz w:val="20"/>
          <w:szCs w:val="20"/>
        </w:rPr>
        <w:t xml:space="preserve"> allowing it to </w:t>
      </w:r>
      <w:r w:rsidR="00720E16" w:rsidRPr="00DB2795">
        <w:rPr>
          <w:sz w:val="20"/>
          <w:szCs w:val="20"/>
        </w:rPr>
        <w:t>advocate</w:t>
      </w:r>
      <w:r w:rsidR="00C7637E" w:rsidRPr="00DB2795">
        <w:rPr>
          <w:sz w:val="20"/>
          <w:szCs w:val="20"/>
        </w:rPr>
        <w:t xml:space="preserve"> </w:t>
      </w:r>
      <w:r w:rsidR="00232CC1" w:rsidRPr="00DB2795">
        <w:rPr>
          <w:sz w:val="20"/>
          <w:szCs w:val="20"/>
        </w:rPr>
        <w:t>for the</w:t>
      </w:r>
      <w:r w:rsidR="003066DB" w:rsidRPr="00DB2795">
        <w:rPr>
          <w:sz w:val="20"/>
          <w:szCs w:val="20"/>
        </w:rPr>
        <w:t xml:space="preserve"> passage in Mexico of </w:t>
      </w:r>
      <w:r w:rsidR="00C231F7" w:rsidRPr="00DB2795">
        <w:rPr>
          <w:sz w:val="20"/>
          <w:szCs w:val="20"/>
        </w:rPr>
        <w:t xml:space="preserve">a </w:t>
      </w:r>
      <w:r w:rsidR="003066DB" w:rsidRPr="00DB2795">
        <w:rPr>
          <w:sz w:val="20"/>
          <w:szCs w:val="20"/>
        </w:rPr>
        <w:t>new federal law criminalizing attacks against journalists and, more recently</w:t>
      </w:r>
      <w:r w:rsidR="00A933F1" w:rsidRPr="00DB2795">
        <w:rPr>
          <w:sz w:val="20"/>
          <w:szCs w:val="20"/>
        </w:rPr>
        <w:t>,</w:t>
      </w:r>
      <w:r w:rsidR="003066DB" w:rsidRPr="00DB2795">
        <w:rPr>
          <w:sz w:val="20"/>
          <w:szCs w:val="20"/>
        </w:rPr>
        <w:t xml:space="preserve"> ensuring the </w:t>
      </w:r>
      <w:r w:rsidR="00A933F1" w:rsidRPr="00DB2795">
        <w:rPr>
          <w:sz w:val="20"/>
          <w:szCs w:val="20"/>
        </w:rPr>
        <w:t xml:space="preserve">adoption </w:t>
      </w:r>
      <w:r w:rsidR="003066DB" w:rsidRPr="00DB2795">
        <w:rPr>
          <w:sz w:val="20"/>
          <w:szCs w:val="20"/>
        </w:rPr>
        <w:t xml:space="preserve">of </w:t>
      </w:r>
      <w:r w:rsidR="00A933F1" w:rsidRPr="00DB2795">
        <w:rPr>
          <w:sz w:val="20"/>
          <w:szCs w:val="20"/>
        </w:rPr>
        <w:t xml:space="preserve">a </w:t>
      </w:r>
      <w:r w:rsidR="003066DB" w:rsidRPr="00DB2795">
        <w:rPr>
          <w:sz w:val="20"/>
          <w:szCs w:val="20"/>
        </w:rPr>
        <w:t>government-funded protection mechanism to assist journalists under threat.</w:t>
      </w:r>
      <w:r w:rsidR="004436C4">
        <w:rPr>
          <w:sz w:val="20"/>
          <w:szCs w:val="20"/>
        </w:rPr>
        <w:t xml:space="preserve"> Building on these efforts, PIJ encouraged Article 19 to develop a cross-cutting initiative to</w:t>
      </w:r>
      <w:r w:rsidR="005850D9" w:rsidRPr="00DB2795">
        <w:rPr>
          <w:sz w:val="20"/>
          <w:szCs w:val="20"/>
        </w:rPr>
        <w:t xml:space="preserve"> advise</w:t>
      </w:r>
      <w:r w:rsidR="003066DB" w:rsidRPr="00DB2795">
        <w:rPr>
          <w:sz w:val="20"/>
          <w:szCs w:val="20"/>
        </w:rPr>
        <w:t xml:space="preserve"> colleagues in Honduras and Brazil </w:t>
      </w:r>
      <w:r w:rsidR="004436C4">
        <w:rPr>
          <w:sz w:val="20"/>
          <w:szCs w:val="20"/>
        </w:rPr>
        <w:t>on how to assist their</w:t>
      </w:r>
      <w:r w:rsidR="00C231F7" w:rsidRPr="00DB2795">
        <w:rPr>
          <w:sz w:val="20"/>
          <w:szCs w:val="20"/>
        </w:rPr>
        <w:t xml:space="preserve"> governments</w:t>
      </w:r>
      <w:r w:rsidR="00414099">
        <w:rPr>
          <w:sz w:val="20"/>
          <w:szCs w:val="20"/>
        </w:rPr>
        <w:t xml:space="preserve"> in</w:t>
      </w:r>
      <w:r w:rsidR="003066DB" w:rsidRPr="00DB2795">
        <w:rPr>
          <w:sz w:val="20"/>
          <w:szCs w:val="20"/>
        </w:rPr>
        <w:t xml:space="preserve"> dev</w:t>
      </w:r>
      <w:r w:rsidR="00C231F7" w:rsidRPr="00DB2795">
        <w:rPr>
          <w:sz w:val="20"/>
          <w:szCs w:val="20"/>
        </w:rPr>
        <w:t>elop</w:t>
      </w:r>
      <w:r w:rsidR="00414099">
        <w:rPr>
          <w:sz w:val="20"/>
          <w:szCs w:val="20"/>
        </w:rPr>
        <w:t>ing</w:t>
      </w:r>
      <w:r w:rsidR="00C231F7" w:rsidRPr="00DB2795">
        <w:rPr>
          <w:sz w:val="20"/>
          <w:szCs w:val="20"/>
        </w:rPr>
        <w:t xml:space="preserve"> similar safety mechanisms. </w:t>
      </w:r>
    </w:p>
    <w:p w:rsidR="00A54AF5" w:rsidRPr="00DB2795" w:rsidRDefault="003066DB" w:rsidP="006467DF">
      <w:pPr>
        <w:rPr>
          <w:sz w:val="20"/>
          <w:szCs w:val="20"/>
        </w:rPr>
      </w:pPr>
      <w:r w:rsidRPr="00DB2795">
        <w:rPr>
          <w:sz w:val="20"/>
          <w:szCs w:val="20"/>
        </w:rPr>
        <w:t xml:space="preserve">In 2012, UNESCO </w:t>
      </w:r>
      <w:r w:rsidR="00C231F7" w:rsidRPr="00DB2795">
        <w:rPr>
          <w:sz w:val="20"/>
          <w:szCs w:val="20"/>
        </w:rPr>
        <w:t>introduced its own plan</w:t>
      </w:r>
      <w:r w:rsidRPr="00DB2795">
        <w:rPr>
          <w:sz w:val="20"/>
          <w:szCs w:val="20"/>
        </w:rPr>
        <w:t xml:space="preserve"> </w:t>
      </w:r>
      <w:r w:rsidR="00C231F7" w:rsidRPr="00DB2795">
        <w:rPr>
          <w:sz w:val="20"/>
          <w:szCs w:val="20"/>
        </w:rPr>
        <w:t>on</w:t>
      </w:r>
      <w:r w:rsidR="00414099">
        <w:rPr>
          <w:sz w:val="20"/>
          <w:szCs w:val="20"/>
        </w:rPr>
        <w:t xml:space="preserve"> the</w:t>
      </w:r>
      <w:r w:rsidR="00C231F7" w:rsidRPr="00DB2795">
        <w:rPr>
          <w:sz w:val="20"/>
          <w:szCs w:val="20"/>
        </w:rPr>
        <w:t xml:space="preserve"> </w:t>
      </w:r>
      <w:r w:rsidRPr="00DB2795">
        <w:rPr>
          <w:sz w:val="20"/>
          <w:szCs w:val="20"/>
        </w:rPr>
        <w:t>“safety of journalists and issue of impunity</w:t>
      </w:r>
      <w:r w:rsidR="00C231F7" w:rsidRPr="00DB2795">
        <w:rPr>
          <w:sz w:val="20"/>
          <w:szCs w:val="20"/>
        </w:rPr>
        <w:t>”</w:t>
      </w:r>
      <w:r w:rsidR="00A933F1" w:rsidRPr="00DB2795">
        <w:rPr>
          <w:sz w:val="20"/>
          <w:szCs w:val="20"/>
        </w:rPr>
        <w:t>,</w:t>
      </w:r>
      <w:r w:rsidR="00C231F7" w:rsidRPr="00DB2795">
        <w:rPr>
          <w:sz w:val="20"/>
          <w:szCs w:val="20"/>
        </w:rPr>
        <w:t xml:space="preserve"> which has been adopted</w:t>
      </w:r>
      <w:r w:rsidR="00D03881" w:rsidRPr="00DB2795">
        <w:rPr>
          <w:sz w:val="20"/>
          <w:szCs w:val="20"/>
        </w:rPr>
        <w:t xml:space="preserve"> </w:t>
      </w:r>
      <w:r w:rsidR="00414099">
        <w:rPr>
          <w:sz w:val="20"/>
          <w:szCs w:val="20"/>
        </w:rPr>
        <w:t xml:space="preserve">as an inter-agency UN plan, allowing other parts of the UN to contribute to this process. </w:t>
      </w:r>
      <w:r w:rsidR="004F73E6" w:rsidRPr="00DB2795">
        <w:rPr>
          <w:sz w:val="20"/>
          <w:szCs w:val="20"/>
        </w:rPr>
        <w:t xml:space="preserve">The main goals of this </w:t>
      </w:r>
      <w:r w:rsidR="00A933F1" w:rsidRPr="00DB2795">
        <w:rPr>
          <w:sz w:val="20"/>
          <w:szCs w:val="20"/>
        </w:rPr>
        <w:t xml:space="preserve">plan </w:t>
      </w:r>
      <w:r w:rsidR="00804FFD" w:rsidRPr="00DB2795">
        <w:rPr>
          <w:sz w:val="20"/>
          <w:szCs w:val="20"/>
        </w:rPr>
        <w:t>include sharing</w:t>
      </w:r>
      <w:r w:rsidR="00260F28" w:rsidRPr="00DB2795">
        <w:rPr>
          <w:sz w:val="20"/>
          <w:szCs w:val="20"/>
        </w:rPr>
        <w:t xml:space="preserve"> best practices in guaranteeing the safety of journalists </w:t>
      </w:r>
      <w:r w:rsidR="00414099">
        <w:rPr>
          <w:sz w:val="20"/>
          <w:szCs w:val="20"/>
        </w:rPr>
        <w:t xml:space="preserve">and </w:t>
      </w:r>
      <w:r w:rsidR="00804FFD" w:rsidRPr="00DB2795">
        <w:rPr>
          <w:sz w:val="20"/>
          <w:szCs w:val="20"/>
        </w:rPr>
        <w:t>seeking legal remedies to address impunity.</w:t>
      </w:r>
      <w:r w:rsidR="00C231F7" w:rsidRPr="00DB2795">
        <w:rPr>
          <w:sz w:val="20"/>
          <w:szCs w:val="20"/>
        </w:rPr>
        <w:t xml:space="preserve"> </w:t>
      </w:r>
      <w:r w:rsidR="00A933F1" w:rsidRPr="00DB2795">
        <w:rPr>
          <w:sz w:val="20"/>
          <w:szCs w:val="20"/>
        </w:rPr>
        <w:t xml:space="preserve">Working in partnership with UNESCO, the </w:t>
      </w:r>
      <w:r w:rsidR="00C231F7" w:rsidRPr="00DB2795">
        <w:rPr>
          <w:sz w:val="20"/>
          <w:szCs w:val="20"/>
        </w:rPr>
        <w:t xml:space="preserve">PIJ </w:t>
      </w:r>
      <w:r w:rsidR="00A933F1" w:rsidRPr="00DB2795">
        <w:rPr>
          <w:sz w:val="20"/>
          <w:szCs w:val="20"/>
        </w:rPr>
        <w:t>funded</w:t>
      </w:r>
      <w:r w:rsidR="0076626C" w:rsidRPr="00DB2795">
        <w:rPr>
          <w:sz w:val="20"/>
          <w:szCs w:val="20"/>
        </w:rPr>
        <w:t xml:space="preserve"> </w:t>
      </w:r>
      <w:r w:rsidR="00C231F7" w:rsidRPr="00DB2795">
        <w:rPr>
          <w:sz w:val="20"/>
          <w:szCs w:val="20"/>
        </w:rPr>
        <w:t xml:space="preserve">International Media Support (IMS) </w:t>
      </w:r>
      <w:r w:rsidR="0076626C" w:rsidRPr="00DB2795">
        <w:rPr>
          <w:sz w:val="20"/>
          <w:szCs w:val="20"/>
        </w:rPr>
        <w:t>to engage with</w:t>
      </w:r>
      <w:r w:rsidR="00C231F7" w:rsidRPr="00DB2795">
        <w:rPr>
          <w:sz w:val="20"/>
          <w:szCs w:val="20"/>
        </w:rPr>
        <w:t xml:space="preserve"> civil society organizations in countries</w:t>
      </w:r>
      <w:r w:rsidR="00A54AF5" w:rsidRPr="00DB2795">
        <w:rPr>
          <w:sz w:val="20"/>
          <w:szCs w:val="20"/>
        </w:rPr>
        <w:t xml:space="preserve"> that</w:t>
      </w:r>
      <w:r w:rsidR="00C231F7" w:rsidRPr="00DB2795">
        <w:rPr>
          <w:sz w:val="20"/>
          <w:szCs w:val="20"/>
        </w:rPr>
        <w:t xml:space="preserve"> have s</w:t>
      </w:r>
      <w:r w:rsidR="00A54AF5" w:rsidRPr="00DB2795">
        <w:rPr>
          <w:sz w:val="20"/>
          <w:szCs w:val="20"/>
        </w:rPr>
        <w:t>igned on to the Plan</w:t>
      </w:r>
      <w:r w:rsidR="00C231F7" w:rsidRPr="00DB2795">
        <w:rPr>
          <w:sz w:val="20"/>
          <w:szCs w:val="20"/>
        </w:rPr>
        <w:t xml:space="preserve"> </w:t>
      </w:r>
      <w:r w:rsidR="00A933F1" w:rsidRPr="00DB2795">
        <w:rPr>
          <w:sz w:val="20"/>
          <w:szCs w:val="20"/>
        </w:rPr>
        <w:t xml:space="preserve">– including Pakistan, South Sudan, Iraq, Nepal, Brazil and Mexico – </w:t>
      </w:r>
      <w:r w:rsidR="00A54AF5" w:rsidRPr="00DB2795">
        <w:rPr>
          <w:sz w:val="20"/>
          <w:szCs w:val="20"/>
        </w:rPr>
        <w:t xml:space="preserve">to </w:t>
      </w:r>
      <w:r w:rsidR="004436C4">
        <w:rPr>
          <w:sz w:val="20"/>
          <w:szCs w:val="20"/>
        </w:rPr>
        <w:t xml:space="preserve">share experiences </w:t>
      </w:r>
      <w:r w:rsidR="00414099">
        <w:rPr>
          <w:sz w:val="20"/>
          <w:szCs w:val="20"/>
        </w:rPr>
        <w:t xml:space="preserve">about establishing appropriates safety mechanisms. </w:t>
      </w:r>
    </w:p>
    <w:p w:rsidR="00A54AF5" w:rsidRPr="00DB2795" w:rsidRDefault="00160E7B" w:rsidP="006467DF">
      <w:pPr>
        <w:rPr>
          <w:sz w:val="20"/>
          <w:szCs w:val="20"/>
        </w:rPr>
      </w:pPr>
      <w:r w:rsidRPr="00DB2795">
        <w:rPr>
          <w:sz w:val="20"/>
          <w:szCs w:val="20"/>
        </w:rPr>
        <w:t xml:space="preserve">With the ultimate goal </w:t>
      </w:r>
      <w:r w:rsidR="00A933F1" w:rsidRPr="00DB2795">
        <w:rPr>
          <w:sz w:val="20"/>
          <w:szCs w:val="20"/>
        </w:rPr>
        <w:t xml:space="preserve">of improving </w:t>
      </w:r>
      <w:r w:rsidRPr="00DB2795">
        <w:rPr>
          <w:sz w:val="20"/>
          <w:szCs w:val="20"/>
        </w:rPr>
        <w:t xml:space="preserve">media coverage </w:t>
      </w:r>
      <w:r w:rsidR="00A933F1" w:rsidRPr="00DB2795">
        <w:rPr>
          <w:sz w:val="20"/>
          <w:szCs w:val="20"/>
        </w:rPr>
        <w:t xml:space="preserve">of </w:t>
      </w:r>
      <w:r w:rsidR="009E2A2B" w:rsidRPr="00DB2795">
        <w:rPr>
          <w:sz w:val="20"/>
          <w:szCs w:val="20"/>
        </w:rPr>
        <w:t>key threats and solutions to journalists</w:t>
      </w:r>
      <w:r w:rsidR="00A933F1" w:rsidRPr="00DB2795">
        <w:rPr>
          <w:sz w:val="20"/>
          <w:szCs w:val="20"/>
        </w:rPr>
        <w:t>’</w:t>
      </w:r>
      <w:r w:rsidR="009E2A2B" w:rsidRPr="00DB2795">
        <w:rPr>
          <w:sz w:val="20"/>
          <w:szCs w:val="20"/>
        </w:rPr>
        <w:t xml:space="preserve"> safety</w:t>
      </w:r>
      <w:r w:rsidR="00A933F1" w:rsidRPr="00DB2795">
        <w:rPr>
          <w:sz w:val="20"/>
          <w:szCs w:val="20"/>
        </w:rPr>
        <w:t>,</w:t>
      </w:r>
      <w:r w:rsidR="009E2A2B" w:rsidRPr="00DB2795">
        <w:rPr>
          <w:sz w:val="20"/>
          <w:szCs w:val="20"/>
        </w:rPr>
        <w:t xml:space="preserve"> </w:t>
      </w:r>
      <w:r w:rsidR="00060F3E" w:rsidRPr="00DB2795">
        <w:rPr>
          <w:sz w:val="20"/>
          <w:szCs w:val="20"/>
        </w:rPr>
        <w:t>the PIJ</w:t>
      </w:r>
      <w:r w:rsidRPr="00DB2795">
        <w:rPr>
          <w:sz w:val="20"/>
          <w:szCs w:val="20"/>
        </w:rPr>
        <w:t xml:space="preserve"> </w:t>
      </w:r>
      <w:r w:rsidR="00060F3E" w:rsidRPr="00DB2795">
        <w:rPr>
          <w:sz w:val="20"/>
          <w:szCs w:val="20"/>
        </w:rPr>
        <w:t>funded an</w:t>
      </w:r>
      <w:r w:rsidR="004643CE" w:rsidRPr="00DB2795">
        <w:rPr>
          <w:sz w:val="20"/>
          <w:szCs w:val="20"/>
        </w:rPr>
        <w:t xml:space="preserve"> </w:t>
      </w:r>
      <w:r w:rsidR="0019408B" w:rsidRPr="00DB2795">
        <w:rPr>
          <w:sz w:val="20"/>
          <w:szCs w:val="20"/>
        </w:rPr>
        <w:t>I</w:t>
      </w:r>
      <w:r w:rsidR="004643CE" w:rsidRPr="00DB2795">
        <w:rPr>
          <w:sz w:val="20"/>
          <w:szCs w:val="20"/>
        </w:rPr>
        <w:t>nternational Symposium</w:t>
      </w:r>
      <w:r w:rsidR="005850D9" w:rsidRPr="00DB2795">
        <w:rPr>
          <w:sz w:val="20"/>
          <w:szCs w:val="20"/>
        </w:rPr>
        <w:t xml:space="preserve"> </w:t>
      </w:r>
      <w:r w:rsidR="004643CE" w:rsidRPr="00DB2795">
        <w:rPr>
          <w:sz w:val="20"/>
          <w:szCs w:val="20"/>
        </w:rPr>
        <w:t>with the BBC</w:t>
      </w:r>
      <w:r w:rsidR="00060F3E" w:rsidRPr="00DB2795">
        <w:rPr>
          <w:sz w:val="20"/>
          <w:szCs w:val="20"/>
        </w:rPr>
        <w:t>, through the University of Sheffield, whose director</w:t>
      </w:r>
      <w:r w:rsidR="007C6084" w:rsidRPr="00DB2795">
        <w:rPr>
          <w:sz w:val="20"/>
          <w:szCs w:val="20"/>
        </w:rPr>
        <w:t xml:space="preserve"> –</w:t>
      </w:r>
      <w:r w:rsidR="00060F3E" w:rsidRPr="00DB2795">
        <w:rPr>
          <w:sz w:val="20"/>
          <w:szCs w:val="20"/>
        </w:rPr>
        <w:t xml:space="preserve"> a former BBC </w:t>
      </w:r>
      <w:r w:rsidR="007C6084" w:rsidRPr="00DB2795">
        <w:rPr>
          <w:sz w:val="20"/>
          <w:szCs w:val="20"/>
        </w:rPr>
        <w:t xml:space="preserve">news </w:t>
      </w:r>
      <w:r w:rsidR="00060F3E" w:rsidRPr="00DB2795">
        <w:rPr>
          <w:sz w:val="20"/>
          <w:szCs w:val="20"/>
        </w:rPr>
        <w:t xml:space="preserve">journalist </w:t>
      </w:r>
      <w:r w:rsidR="007C6084" w:rsidRPr="00DB2795">
        <w:rPr>
          <w:sz w:val="20"/>
          <w:szCs w:val="20"/>
        </w:rPr>
        <w:t xml:space="preserve">– </w:t>
      </w:r>
      <w:r w:rsidR="00060F3E" w:rsidRPr="00DB2795">
        <w:rPr>
          <w:sz w:val="20"/>
          <w:szCs w:val="20"/>
        </w:rPr>
        <w:t>has become a global expert on safety and protection</w:t>
      </w:r>
      <w:r w:rsidR="00414099">
        <w:rPr>
          <w:sz w:val="20"/>
          <w:szCs w:val="20"/>
        </w:rPr>
        <w:t>.</w:t>
      </w:r>
      <w:r w:rsidR="000F7CD6" w:rsidRPr="00DB2795">
        <w:rPr>
          <w:sz w:val="20"/>
          <w:szCs w:val="20"/>
        </w:rPr>
        <w:t xml:space="preserve"> </w:t>
      </w:r>
      <w:r w:rsidR="001F7E79" w:rsidRPr="00DB2795">
        <w:rPr>
          <w:sz w:val="20"/>
          <w:szCs w:val="20"/>
        </w:rPr>
        <w:t xml:space="preserve">It is </w:t>
      </w:r>
      <w:r w:rsidR="005850D9" w:rsidRPr="00DB2795">
        <w:rPr>
          <w:sz w:val="20"/>
          <w:szCs w:val="20"/>
        </w:rPr>
        <w:t xml:space="preserve">not </w:t>
      </w:r>
      <w:r w:rsidR="001F7E79" w:rsidRPr="00DB2795">
        <w:rPr>
          <w:sz w:val="20"/>
          <w:szCs w:val="20"/>
        </w:rPr>
        <w:t xml:space="preserve">yet </w:t>
      </w:r>
      <w:r w:rsidR="005850D9" w:rsidRPr="00DB2795">
        <w:rPr>
          <w:sz w:val="20"/>
          <w:szCs w:val="20"/>
        </w:rPr>
        <w:t xml:space="preserve">clear what impact the seminars </w:t>
      </w:r>
      <w:r w:rsidR="00D03881" w:rsidRPr="00DB2795">
        <w:rPr>
          <w:sz w:val="20"/>
          <w:szCs w:val="20"/>
        </w:rPr>
        <w:t>will have in the future</w:t>
      </w:r>
      <w:r w:rsidR="005850D9" w:rsidRPr="00DB2795">
        <w:rPr>
          <w:sz w:val="20"/>
          <w:szCs w:val="20"/>
        </w:rPr>
        <w:t xml:space="preserve"> </w:t>
      </w:r>
      <w:r w:rsidR="00414099">
        <w:rPr>
          <w:sz w:val="20"/>
          <w:szCs w:val="20"/>
        </w:rPr>
        <w:t xml:space="preserve">in </w:t>
      </w:r>
      <w:r w:rsidR="005850D9" w:rsidRPr="00DB2795">
        <w:rPr>
          <w:sz w:val="20"/>
          <w:szCs w:val="20"/>
        </w:rPr>
        <w:t xml:space="preserve">improving </w:t>
      </w:r>
      <w:r w:rsidR="001F7E79" w:rsidRPr="00DB2795">
        <w:rPr>
          <w:sz w:val="20"/>
          <w:szCs w:val="20"/>
        </w:rPr>
        <w:t>media coverage on this topic</w:t>
      </w:r>
      <w:r w:rsidR="00FA29EB" w:rsidRPr="00DB2795">
        <w:rPr>
          <w:sz w:val="20"/>
          <w:szCs w:val="20"/>
        </w:rPr>
        <w:t xml:space="preserve">, although </w:t>
      </w:r>
      <w:r w:rsidR="008E76E2" w:rsidRPr="00DB2795">
        <w:rPr>
          <w:sz w:val="20"/>
          <w:szCs w:val="20"/>
        </w:rPr>
        <w:t xml:space="preserve">the conferences provided case studies, </w:t>
      </w:r>
      <w:r w:rsidR="00DB2795" w:rsidRPr="00DB2795">
        <w:rPr>
          <w:sz w:val="20"/>
          <w:szCs w:val="20"/>
        </w:rPr>
        <w:t xml:space="preserve">showing that there has been increased </w:t>
      </w:r>
      <w:r w:rsidR="00414099">
        <w:rPr>
          <w:sz w:val="20"/>
          <w:szCs w:val="20"/>
        </w:rPr>
        <w:t>coverage by a number of media outlets on</w:t>
      </w:r>
      <w:r w:rsidR="008E76E2" w:rsidRPr="00DB2795">
        <w:rPr>
          <w:sz w:val="20"/>
          <w:szCs w:val="20"/>
        </w:rPr>
        <w:t xml:space="preserve"> specific safety issues</w:t>
      </w:r>
      <w:r w:rsidR="00DB2795" w:rsidRPr="00DB2795">
        <w:rPr>
          <w:sz w:val="20"/>
          <w:szCs w:val="20"/>
        </w:rPr>
        <w:t xml:space="preserve"> over the past year.</w:t>
      </w:r>
      <w:r w:rsidR="008E76E2" w:rsidRPr="00DB2795">
        <w:rPr>
          <w:sz w:val="20"/>
          <w:szCs w:val="20"/>
        </w:rPr>
        <w:t xml:space="preserve">  </w:t>
      </w:r>
    </w:p>
    <w:p w:rsidR="00060F3E" w:rsidRPr="00DB2795" w:rsidRDefault="00391DBB" w:rsidP="006467DF">
      <w:pPr>
        <w:rPr>
          <w:sz w:val="20"/>
          <w:szCs w:val="20"/>
        </w:rPr>
      </w:pPr>
      <w:r w:rsidRPr="00DB2795">
        <w:rPr>
          <w:sz w:val="20"/>
          <w:szCs w:val="20"/>
        </w:rPr>
        <w:t>Our</w:t>
      </w:r>
      <w:r w:rsidR="0081789F" w:rsidRPr="00DB2795">
        <w:rPr>
          <w:sz w:val="20"/>
          <w:szCs w:val="20"/>
        </w:rPr>
        <w:t xml:space="preserve"> assistance </w:t>
      </w:r>
      <w:r w:rsidR="001941E6" w:rsidRPr="00DB2795">
        <w:rPr>
          <w:sz w:val="20"/>
          <w:szCs w:val="20"/>
        </w:rPr>
        <w:t xml:space="preserve">has </w:t>
      </w:r>
      <w:r w:rsidR="0081789F" w:rsidRPr="00DB2795">
        <w:rPr>
          <w:sz w:val="20"/>
          <w:szCs w:val="20"/>
        </w:rPr>
        <w:t xml:space="preserve">helped to build and strengthen the field of networks not only through grant-making support to these organizations but in providing its own expertise in designing and implementing </w:t>
      </w:r>
      <w:r w:rsidR="00C92518" w:rsidRPr="00DB2795">
        <w:rPr>
          <w:sz w:val="20"/>
          <w:szCs w:val="20"/>
        </w:rPr>
        <w:t xml:space="preserve">the projects, in particular with International Media Support. The Program has already seen commitments by governments in Brazil and Pakistan to develop legislation which would improve the </w:t>
      </w:r>
      <w:r w:rsidR="0029514B">
        <w:rPr>
          <w:sz w:val="20"/>
          <w:szCs w:val="20"/>
        </w:rPr>
        <w:t>safety</w:t>
      </w:r>
      <w:r w:rsidR="00C92518" w:rsidRPr="00DB2795">
        <w:rPr>
          <w:sz w:val="20"/>
          <w:szCs w:val="20"/>
        </w:rPr>
        <w:t xml:space="preserve"> environment for journalists. These activities </w:t>
      </w:r>
      <w:r w:rsidRPr="00DB2795">
        <w:rPr>
          <w:sz w:val="20"/>
          <w:szCs w:val="20"/>
        </w:rPr>
        <w:t xml:space="preserve">have </w:t>
      </w:r>
      <w:r w:rsidR="00C92518" w:rsidRPr="00DB2795">
        <w:rPr>
          <w:sz w:val="20"/>
          <w:szCs w:val="20"/>
        </w:rPr>
        <w:t>focus</w:t>
      </w:r>
      <w:r w:rsidRPr="00DB2795">
        <w:rPr>
          <w:sz w:val="20"/>
          <w:szCs w:val="20"/>
        </w:rPr>
        <w:t>ed</w:t>
      </w:r>
      <w:r w:rsidR="00C92518" w:rsidRPr="00DB2795">
        <w:rPr>
          <w:sz w:val="20"/>
          <w:szCs w:val="20"/>
        </w:rPr>
        <w:t xml:space="preserve"> primarily on the physical protection needs of journalists and not on online threats, although a separate stream of work to address this issue </w:t>
      </w:r>
      <w:r w:rsidRPr="00DB2795">
        <w:rPr>
          <w:sz w:val="20"/>
          <w:szCs w:val="20"/>
        </w:rPr>
        <w:t>is also under review</w:t>
      </w:r>
      <w:r w:rsidR="00347E2B">
        <w:rPr>
          <w:sz w:val="20"/>
          <w:szCs w:val="20"/>
        </w:rPr>
        <w:t xml:space="preserve"> with the</w:t>
      </w:r>
      <w:r w:rsidR="00510138" w:rsidRPr="00DB2795">
        <w:rPr>
          <w:sz w:val="20"/>
          <w:szCs w:val="20"/>
        </w:rPr>
        <w:t xml:space="preserve"> Information Program</w:t>
      </w:r>
      <w:r w:rsidR="00C7637E" w:rsidRPr="00DB2795">
        <w:rPr>
          <w:sz w:val="20"/>
          <w:szCs w:val="20"/>
        </w:rPr>
        <w:t xml:space="preserve">. </w:t>
      </w:r>
      <w:r w:rsidR="008E76E2" w:rsidRPr="00DB2795">
        <w:rPr>
          <w:sz w:val="20"/>
          <w:szCs w:val="20"/>
        </w:rPr>
        <w:t>At the same time, shifting priorities on</w:t>
      </w:r>
      <w:r w:rsidR="0029514B">
        <w:rPr>
          <w:sz w:val="20"/>
          <w:szCs w:val="20"/>
        </w:rPr>
        <w:t xml:space="preserve"> safety have</w:t>
      </w:r>
      <w:r w:rsidR="00DB2795" w:rsidRPr="00DB2795">
        <w:rPr>
          <w:sz w:val="20"/>
          <w:szCs w:val="20"/>
        </w:rPr>
        <w:t xml:space="preserve"> made it </w:t>
      </w:r>
      <w:r w:rsidR="00C7637E" w:rsidRPr="00DB2795">
        <w:rPr>
          <w:sz w:val="20"/>
          <w:szCs w:val="20"/>
        </w:rPr>
        <w:t xml:space="preserve">more difficult to assess specific successes </w:t>
      </w:r>
      <w:r w:rsidR="00347E2B">
        <w:rPr>
          <w:sz w:val="20"/>
          <w:szCs w:val="20"/>
        </w:rPr>
        <w:t>of this project as of yet.</w:t>
      </w:r>
      <w:r w:rsidR="008E76E2" w:rsidRPr="00DB2795">
        <w:rPr>
          <w:sz w:val="20"/>
          <w:szCs w:val="20"/>
        </w:rPr>
        <w:t xml:space="preserve"> </w:t>
      </w:r>
    </w:p>
    <w:p w:rsidR="006F0EF3" w:rsidRDefault="00510138" w:rsidP="00D24FED">
      <w:pPr>
        <w:pStyle w:val="Heading6"/>
        <w:numPr>
          <w:ilvl w:val="0"/>
          <w:numId w:val="23"/>
        </w:numPr>
        <w:rPr>
          <w:sz w:val="20"/>
          <w:szCs w:val="20"/>
        </w:rPr>
      </w:pPr>
      <w:r w:rsidRPr="00DB2795">
        <w:rPr>
          <w:sz w:val="20"/>
          <w:szCs w:val="20"/>
        </w:rPr>
        <w:t>Legal defence and litigation support for journalists and media outlets</w:t>
      </w:r>
    </w:p>
    <w:p w:rsidR="00510138" w:rsidRPr="00DB2795" w:rsidRDefault="00510138" w:rsidP="004436C4">
      <w:pPr>
        <w:pBdr>
          <w:top w:val="single" w:sz="4" w:space="1" w:color="auto"/>
          <w:left w:val="single" w:sz="4" w:space="4" w:color="auto"/>
          <w:bottom w:val="single" w:sz="4" w:space="1" w:color="auto"/>
          <w:right w:val="single" w:sz="4" w:space="4" w:color="auto"/>
        </w:pBdr>
        <w:rPr>
          <w:b/>
          <w:sz w:val="20"/>
          <w:szCs w:val="20"/>
        </w:rPr>
      </w:pPr>
      <w:r w:rsidRPr="00DB2795">
        <w:rPr>
          <w:b/>
          <w:sz w:val="20"/>
          <w:szCs w:val="20"/>
        </w:rPr>
        <w:t>Grantees: Media Legal Defence Initiative, Southeast Asia Media Defence, Hong Kong University</w:t>
      </w:r>
      <w:r w:rsidR="004436C4">
        <w:rPr>
          <w:b/>
          <w:sz w:val="20"/>
          <w:szCs w:val="20"/>
        </w:rPr>
        <w:br/>
      </w:r>
      <w:r w:rsidR="008C7ED7" w:rsidRPr="00DB2795">
        <w:rPr>
          <w:b/>
          <w:sz w:val="20"/>
          <w:szCs w:val="20"/>
        </w:rPr>
        <w:t>P</w:t>
      </w:r>
      <w:r w:rsidR="00871960" w:rsidRPr="00DB2795">
        <w:rPr>
          <w:b/>
          <w:sz w:val="20"/>
          <w:szCs w:val="20"/>
        </w:rPr>
        <w:t>rogram</w:t>
      </w:r>
      <w:r w:rsidRPr="00DB2795">
        <w:rPr>
          <w:b/>
          <w:sz w:val="20"/>
          <w:szCs w:val="20"/>
        </w:rPr>
        <w:t xml:space="preserve"> funding: </w:t>
      </w:r>
      <w:r w:rsidR="00774FFB" w:rsidRPr="00DB2795">
        <w:rPr>
          <w:b/>
          <w:sz w:val="20"/>
          <w:szCs w:val="20"/>
        </w:rPr>
        <w:tab/>
      </w:r>
      <w:r w:rsidR="00871960" w:rsidRPr="00DB2795">
        <w:rPr>
          <w:b/>
          <w:sz w:val="20"/>
          <w:szCs w:val="20"/>
        </w:rPr>
        <w:t>$</w:t>
      </w:r>
      <w:r w:rsidR="00560CDA" w:rsidRPr="00DB2795">
        <w:rPr>
          <w:b/>
          <w:sz w:val="20"/>
          <w:szCs w:val="20"/>
        </w:rPr>
        <w:t>2,</w:t>
      </w:r>
      <w:r w:rsidR="0008601D" w:rsidRPr="00DB2795">
        <w:rPr>
          <w:b/>
          <w:sz w:val="20"/>
          <w:szCs w:val="20"/>
        </w:rPr>
        <w:t>551,697</w:t>
      </w:r>
      <w:r w:rsidR="0008601D" w:rsidRPr="00DB2795">
        <w:rPr>
          <w:rStyle w:val="FootnoteReference"/>
          <w:b/>
          <w:sz w:val="20"/>
          <w:szCs w:val="20"/>
        </w:rPr>
        <w:footnoteReference w:id="1"/>
      </w:r>
    </w:p>
    <w:p w:rsidR="007C6084" w:rsidRPr="00DB2795" w:rsidRDefault="008E76E2">
      <w:pPr>
        <w:rPr>
          <w:sz w:val="20"/>
          <w:szCs w:val="20"/>
        </w:rPr>
      </w:pPr>
      <w:r w:rsidRPr="00DB2795">
        <w:rPr>
          <w:sz w:val="20"/>
          <w:szCs w:val="20"/>
        </w:rPr>
        <w:t>Since it was established by the PIJ</w:t>
      </w:r>
      <w:r w:rsidR="00DB2795" w:rsidRPr="00DB2795">
        <w:rPr>
          <w:sz w:val="20"/>
          <w:szCs w:val="20"/>
        </w:rPr>
        <w:t xml:space="preserve"> over five years ago</w:t>
      </w:r>
      <w:r w:rsidRPr="00DB2795">
        <w:rPr>
          <w:sz w:val="20"/>
          <w:szCs w:val="20"/>
        </w:rPr>
        <w:t xml:space="preserve">, </w:t>
      </w:r>
      <w:r w:rsidR="00DB2795" w:rsidRPr="00DB2795">
        <w:rPr>
          <w:sz w:val="20"/>
          <w:szCs w:val="20"/>
        </w:rPr>
        <w:t>t</w:t>
      </w:r>
      <w:r w:rsidR="0019408B" w:rsidRPr="00DB2795">
        <w:rPr>
          <w:sz w:val="20"/>
          <w:szCs w:val="20"/>
        </w:rPr>
        <w:t>he Media Legal Defence Initiative</w:t>
      </w:r>
      <w:r w:rsidR="001F7E79" w:rsidRPr="00DB2795">
        <w:rPr>
          <w:sz w:val="20"/>
          <w:szCs w:val="20"/>
        </w:rPr>
        <w:t xml:space="preserve"> has become </w:t>
      </w:r>
      <w:r w:rsidR="00A2683B" w:rsidRPr="00DB2795">
        <w:rPr>
          <w:sz w:val="20"/>
          <w:szCs w:val="20"/>
        </w:rPr>
        <w:t>a</w:t>
      </w:r>
      <w:r w:rsidR="001F7E79" w:rsidRPr="00DB2795">
        <w:rPr>
          <w:sz w:val="20"/>
          <w:szCs w:val="20"/>
        </w:rPr>
        <w:t xml:space="preserve"> global leader</w:t>
      </w:r>
      <w:r w:rsidR="00A2683B" w:rsidRPr="00DB2795">
        <w:rPr>
          <w:rStyle w:val="CommentReference"/>
          <w:sz w:val="20"/>
          <w:szCs w:val="20"/>
        </w:rPr>
        <w:t xml:space="preserve"> </w:t>
      </w:r>
      <w:r w:rsidR="0029514B">
        <w:rPr>
          <w:rStyle w:val="CommentReference"/>
          <w:sz w:val="20"/>
          <w:szCs w:val="20"/>
        </w:rPr>
        <w:t xml:space="preserve">in </w:t>
      </w:r>
      <w:r w:rsidR="00A2683B" w:rsidRPr="00DB2795">
        <w:rPr>
          <w:sz w:val="20"/>
          <w:szCs w:val="20"/>
        </w:rPr>
        <w:t>pr</w:t>
      </w:r>
      <w:r w:rsidR="0019408B" w:rsidRPr="00DB2795">
        <w:rPr>
          <w:sz w:val="20"/>
          <w:szCs w:val="20"/>
        </w:rPr>
        <w:t>oviding litigation support to journalists and media outlets</w:t>
      </w:r>
      <w:r w:rsidR="0029514B">
        <w:rPr>
          <w:sz w:val="20"/>
          <w:szCs w:val="20"/>
        </w:rPr>
        <w:t>,</w:t>
      </w:r>
      <w:r w:rsidR="00060F3E" w:rsidRPr="00DB2795">
        <w:rPr>
          <w:sz w:val="20"/>
          <w:szCs w:val="20"/>
        </w:rPr>
        <w:t xml:space="preserve"> </w:t>
      </w:r>
      <w:r w:rsidRPr="00DB2795">
        <w:rPr>
          <w:sz w:val="20"/>
          <w:szCs w:val="20"/>
        </w:rPr>
        <w:t>both in regards to the number of c</w:t>
      </w:r>
      <w:r w:rsidR="0029514B">
        <w:rPr>
          <w:sz w:val="20"/>
          <w:szCs w:val="20"/>
        </w:rPr>
        <w:t xml:space="preserve">ases it takes on as well as its </w:t>
      </w:r>
      <w:r w:rsidRPr="00DB2795">
        <w:rPr>
          <w:sz w:val="20"/>
          <w:szCs w:val="20"/>
        </w:rPr>
        <w:t>success rate</w:t>
      </w:r>
      <w:r w:rsidR="00060F3E" w:rsidRPr="00DB2795">
        <w:rPr>
          <w:sz w:val="20"/>
          <w:szCs w:val="20"/>
        </w:rPr>
        <w:t xml:space="preserve">.  The Program </w:t>
      </w:r>
      <w:r w:rsidR="0089312C" w:rsidRPr="00DB2795">
        <w:rPr>
          <w:sz w:val="20"/>
          <w:szCs w:val="20"/>
        </w:rPr>
        <w:t>not only developed the concept for MLDI</w:t>
      </w:r>
      <w:r w:rsidR="007C6084" w:rsidRPr="00DB2795">
        <w:rPr>
          <w:sz w:val="20"/>
          <w:szCs w:val="20"/>
        </w:rPr>
        <w:t xml:space="preserve"> and </w:t>
      </w:r>
      <w:r w:rsidR="0089312C" w:rsidRPr="00DB2795">
        <w:rPr>
          <w:sz w:val="20"/>
          <w:szCs w:val="20"/>
        </w:rPr>
        <w:t>housed the organization initially in the OSF office</w:t>
      </w:r>
      <w:r w:rsidR="00A2683B" w:rsidRPr="00DB2795">
        <w:rPr>
          <w:sz w:val="20"/>
          <w:szCs w:val="20"/>
        </w:rPr>
        <w:t xml:space="preserve">s but </w:t>
      </w:r>
      <w:r w:rsidR="0089312C" w:rsidRPr="00DB2795">
        <w:rPr>
          <w:sz w:val="20"/>
          <w:szCs w:val="20"/>
        </w:rPr>
        <w:t xml:space="preserve">also </w:t>
      </w:r>
      <w:r w:rsidR="00060F3E" w:rsidRPr="00DB2795">
        <w:rPr>
          <w:sz w:val="20"/>
          <w:szCs w:val="20"/>
        </w:rPr>
        <w:t xml:space="preserve">invested significant efforts in governance and accountability, </w:t>
      </w:r>
      <w:r w:rsidR="00D451E9" w:rsidRPr="00DB2795">
        <w:rPr>
          <w:sz w:val="20"/>
          <w:szCs w:val="20"/>
        </w:rPr>
        <w:t>after</w:t>
      </w:r>
      <w:r w:rsidRPr="00DB2795">
        <w:rPr>
          <w:sz w:val="20"/>
          <w:szCs w:val="20"/>
        </w:rPr>
        <w:t xml:space="preserve"> </w:t>
      </w:r>
      <w:r w:rsidR="00DB2795" w:rsidRPr="00DB2795">
        <w:rPr>
          <w:sz w:val="20"/>
          <w:szCs w:val="20"/>
        </w:rPr>
        <w:t xml:space="preserve">an </w:t>
      </w:r>
      <w:r w:rsidRPr="00DB2795">
        <w:rPr>
          <w:sz w:val="20"/>
          <w:szCs w:val="20"/>
        </w:rPr>
        <w:t>initial change in leadership and some</w:t>
      </w:r>
      <w:r w:rsidR="008B2C47" w:rsidRPr="00DB2795">
        <w:rPr>
          <w:sz w:val="20"/>
          <w:szCs w:val="20"/>
        </w:rPr>
        <w:t xml:space="preserve"> concerns that financial and grant-making oversight were not functioning adequately</w:t>
      </w:r>
      <w:r w:rsidR="0089312C" w:rsidRPr="00DB2795">
        <w:rPr>
          <w:sz w:val="20"/>
          <w:szCs w:val="20"/>
        </w:rPr>
        <w:t>. These</w:t>
      </w:r>
      <w:r w:rsidR="008B2C47" w:rsidRPr="00DB2795">
        <w:rPr>
          <w:sz w:val="20"/>
          <w:szCs w:val="20"/>
        </w:rPr>
        <w:t xml:space="preserve"> problems </w:t>
      </w:r>
      <w:r w:rsidR="0089312C" w:rsidRPr="00DB2795">
        <w:rPr>
          <w:sz w:val="20"/>
          <w:szCs w:val="20"/>
        </w:rPr>
        <w:t xml:space="preserve">were addressed following the appointment of MLDI’s </w:t>
      </w:r>
      <w:r w:rsidR="008B2C47" w:rsidRPr="00DB2795">
        <w:rPr>
          <w:sz w:val="20"/>
          <w:szCs w:val="20"/>
        </w:rPr>
        <w:t xml:space="preserve">senior lawyer to head the initiative, and </w:t>
      </w:r>
      <w:r w:rsidR="0029514B">
        <w:rPr>
          <w:sz w:val="20"/>
          <w:szCs w:val="20"/>
        </w:rPr>
        <w:t xml:space="preserve">the appointment </w:t>
      </w:r>
      <w:r w:rsidR="007C6084" w:rsidRPr="00DB2795">
        <w:rPr>
          <w:sz w:val="20"/>
          <w:szCs w:val="20"/>
        </w:rPr>
        <w:t xml:space="preserve">of </w:t>
      </w:r>
      <w:r w:rsidR="008B2C47" w:rsidRPr="00DB2795">
        <w:rPr>
          <w:sz w:val="20"/>
          <w:szCs w:val="20"/>
        </w:rPr>
        <w:t>a dedicated grants officer</w:t>
      </w:r>
      <w:r w:rsidR="003E0DB7">
        <w:rPr>
          <w:sz w:val="20"/>
          <w:szCs w:val="20"/>
        </w:rPr>
        <w:t>.</w:t>
      </w:r>
      <w:r w:rsidR="00A42B14" w:rsidRPr="00DB2795">
        <w:rPr>
          <w:sz w:val="20"/>
          <w:szCs w:val="20"/>
        </w:rPr>
        <w:t xml:space="preserve"> </w:t>
      </w:r>
    </w:p>
    <w:p w:rsidR="007C6084" w:rsidRPr="00DB2795" w:rsidRDefault="007C6084">
      <w:pPr>
        <w:rPr>
          <w:sz w:val="20"/>
          <w:szCs w:val="20"/>
        </w:rPr>
      </w:pPr>
      <w:r w:rsidRPr="00DB2795">
        <w:rPr>
          <w:sz w:val="20"/>
          <w:szCs w:val="20"/>
        </w:rPr>
        <w:t xml:space="preserve">In 2013, </w:t>
      </w:r>
      <w:r w:rsidR="00A42B14" w:rsidRPr="00DB2795">
        <w:rPr>
          <w:sz w:val="20"/>
          <w:szCs w:val="20"/>
        </w:rPr>
        <w:t>PIJ guaranteed 5 years of support by approving $2</w:t>
      </w:r>
      <w:r w:rsidR="0029514B">
        <w:rPr>
          <w:sz w:val="20"/>
          <w:szCs w:val="20"/>
        </w:rPr>
        <w:t>.5</w:t>
      </w:r>
      <w:r w:rsidR="00A42B14" w:rsidRPr="00DB2795">
        <w:rPr>
          <w:sz w:val="20"/>
          <w:szCs w:val="20"/>
        </w:rPr>
        <w:t xml:space="preserve"> million (at $500,000 per year)</w:t>
      </w:r>
      <w:r w:rsidRPr="00DB2795">
        <w:rPr>
          <w:sz w:val="20"/>
          <w:szCs w:val="20"/>
        </w:rPr>
        <w:t>, subject to annual</w:t>
      </w:r>
      <w:r w:rsidR="009E4A1D" w:rsidRPr="00DB2795">
        <w:rPr>
          <w:sz w:val="20"/>
          <w:szCs w:val="20"/>
        </w:rPr>
        <w:t xml:space="preserve"> review.</w:t>
      </w:r>
      <w:r w:rsidR="00A42B14" w:rsidRPr="00DB2795">
        <w:rPr>
          <w:sz w:val="20"/>
          <w:szCs w:val="20"/>
        </w:rPr>
        <w:t xml:space="preserve"> </w:t>
      </w:r>
      <w:r w:rsidR="00D451E9" w:rsidRPr="00DB2795">
        <w:rPr>
          <w:sz w:val="20"/>
          <w:szCs w:val="20"/>
        </w:rPr>
        <w:t xml:space="preserve">OSF funding allowed MLDI to guarantee significant pledges of support from other </w:t>
      </w:r>
      <w:r w:rsidR="0089312C" w:rsidRPr="00DB2795">
        <w:rPr>
          <w:sz w:val="20"/>
          <w:szCs w:val="20"/>
        </w:rPr>
        <w:t xml:space="preserve">donors, </w:t>
      </w:r>
      <w:r w:rsidR="00A42B14" w:rsidRPr="00DB2795">
        <w:rPr>
          <w:sz w:val="20"/>
          <w:szCs w:val="20"/>
        </w:rPr>
        <w:t>putting the organization well within the 1/3 funding cap</w:t>
      </w:r>
      <w:r w:rsidR="0029514B">
        <w:rPr>
          <w:sz w:val="20"/>
          <w:szCs w:val="20"/>
        </w:rPr>
        <w:t xml:space="preserve"> for OSF support after this period</w:t>
      </w:r>
      <w:r w:rsidR="0089312C" w:rsidRPr="00DB2795">
        <w:rPr>
          <w:sz w:val="20"/>
          <w:szCs w:val="20"/>
        </w:rPr>
        <w:t>.</w:t>
      </w:r>
      <w:r w:rsidR="00A42B14" w:rsidRPr="00DB2795">
        <w:rPr>
          <w:sz w:val="20"/>
          <w:szCs w:val="20"/>
        </w:rPr>
        <w:t xml:space="preserve"> </w:t>
      </w:r>
    </w:p>
    <w:p w:rsidR="003E0DB7" w:rsidRPr="003E0DB7" w:rsidRDefault="00A42B14" w:rsidP="003E0DB7">
      <w:pPr>
        <w:rPr>
          <w:sz w:val="20"/>
          <w:szCs w:val="20"/>
        </w:rPr>
      </w:pPr>
      <w:r w:rsidRPr="00DB2795">
        <w:rPr>
          <w:sz w:val="20"/>
          <w:szCs w:val="20"/>
        </w:rPr>
        <w:t xml:space="preserve">MLDI provides </w:t>
      </w:r>
      <w:r w:rsidR="0089312C" w:rsidRPr="00DB2795">
        <w:rPr>
          <w:sz w:val="20"/>
          <w:szCs w:val="20"/>
        </w:rPr>
        <w:t>sub-grants</w:t>
      </w:r>
      <w:r w:rsidRPr="00DB2795">
        <w:rPr>
          <w:sz w:val="20"/>
          <w:szCs w:val="20"/>
        </w:rPr>
        <w:t xml:space="preserve"> not only for individual cases but </w:t>
      </w:r>
      <w:r w:rsidR="0089312C" w:rsidRPr="00DB2795">
        <w:rPr>
          <w:sz w:val="20"/>
          <w:szCs w:val="20"/>
        </w:rPr>
        <w:t>also to</w:t>
      </w:r>
      <w:r w:rsidRPr="00DB2795">
        <w:rPr>
          <w:sz w:val="20"/>
          <w:szCs w:val="20"/>
        </w:rPr>
        <w:t xml:space="preserve"> other institutions to provide legal assistance </w:t>
      </w:r>
      <w:r w:rsidR="0029514B">
        <w:rPr>
          <w:sz w:val="20"/>
          <w:szCs w:val="20"/>
        </w:rPr>
        <w:t xml:space="preserve">to journalists </w:t>
      </w:r>
      <w:r w:rsidRPr="00DB2795">
        <w:rPr>
          <w:sz w:val="20"/>
          <w:szCs w:val="20"/>
        </w:rPr>
        <w:t xml:space="preserve">and offers capacity-building and training to lawyers defending journalists around the world. This has allowed MLDI to develop a solid network of lawyers who it can engage in supporting </w:t>
      </w:r>
      <w:r w:rsidR="008C5BE6" w:rsidRPr="00DB2795">
        <w:rPr>
          <w:sz w:val="20"/>
          <w:szCs w:val="20"/>
        </w:rPr>
        <w:t>key cases where needed</w:t>
      </w:r>
      <w:r w:rsidRPr="00DB2795">
        <w:rPr>
          <w:sz w:val="20"/>
          <w:szCs w:val="20"/>
        </w:rPr>
        <w:t>. Most of its funding, however, has been earmarked for litigation work, due</w:t>
      </w:r>
      <w:r w:rsidR="00A2683B" w:rsidRPr="00DB2795">
        <w:rPr>
          <w:rStyle w:val="CommentReference"/>
          <w:sz w:val="20"/>
          <w:szCs w:val="20"/>
        </w:rPr>
        <w:t xml:space="preserve"> t</w:t>
      </w:r>
      <w:r w:rsidRPr="00DB2795">
        <w:rPr>
          <w:sz w:val="20"/>
          <w:szCs w:val="20"/>
        </w:rPr>
        <w:t>o the high demand for this activity</w:t>
      </w:r>
      <w:r w:rsidR="00B558F3" w:rsidRPr="00DB2795">
        <w:rPr>
          <w:sz w:val="20"/>
          <w:szCs w:val="20"/>
        </w:rPr>
        <w:t xml:space="preserve"> (</w:t>
      </w:r>
      <w:r w:rsidR="008E76E2" w:rsidRPr="00DB2795">
        <w:rPr>
          <w:sz w:val="20"/>
          <w:szCs w:val="20"/>
        </w:rPr>
        <w:t>nearly 100</w:t>
      </w:r>
      <w:r w:rsidR="00B558F3" w:rsidRPr="00DB2795">
        <w:rPr>
          <w:sz w:val="20"/>
          <w:szCs w:val="20"/>
        </w:rPr>
        <w:t xml:space="preserve"> cases per year</w:t>
      </w:r>
      <w:r w:rsidR="008C5BE6" w:rsidRPr="00DB2795">
        <w:rPr>
          <w:sz w:val="20"/>
          <w:szCs w:val="20"/>
        </w:rPr>
        <w:t>, with a 70% success rate</w:t>
      </w:r>
      <w:r w:rsidR="00B558F3" w:rsidRPr="00DB2795">
        <w:rPr>
          <w:sz w:val="20"/>
          <w:szCs w:val="20"/>
        </w:rPr>
        <w:t>)</w:t>
      </w:r>
      <w:r w:rsidR="0029514B">
        <w:rPr>
          <w:sz w:val="20"/>
          <w:szCs w:val="20"/>
        </w:rPr>
        <w:t xml:space="preserve">. </w:t>
      </w:r>
      <w:r w:rsidRPr="00DB2795">
        <w:rPr>
          <w:sz w:val="20"/>
          <w:szCs w:val="20"/>
        </w:rPr>
        <w:t xml:space="preserve">MLDI </w:t>
      </w:r>
      <w:r w:rsidR="00AD769D" w:rsidRPr="00DB2795">
        <w:rPr>
          <w:sz w:val="20"/>
          <w:szCs w:val="20"/>
        </w:rPr>
        <w:t>has been involved in set</w:t>
      </w:r>
      <w:r w:rsidR="007C6084" w:rsidRPr="00DB2795">
        <w:rPr>
          <w:sz w:val="20"/>
          <w:szCs w:val="20"/>
        </w:rPr>
        <w:t>ting</w:t>
      </w:r>
      <w:r w:rsidR="00AD769D" w:rsidRPr="00DB2795">
        <w:rPr>
          <w:sz w:val="20"/>
          <w:szCs w:val="20"/>
        </w:rPr>
        <w:t xml:space="preserve"> up regional networks of lawyers in Southeast Asia, and has plans to do </w:t>
      </w:r>
      <w:r w:rsidR="007C6084" w:rsidRPr="00DB2795">
        <w:rPr>
          <w:sz w:val="20"/>
          <w:szCs w:val="20"/>
        </w:rPr>
        <w:t xml:space="preserve">the same </w:t>
      </w:r>
      <w:r w:rsidR="00B90EAF" w:rsidRPr="00DB2795">
        <w:rPr>
          <w:sz w:val="20"/>
          <w:szCs w:val="20"/>
        </w:rPr>
        <w:t xml:space="preserve">in </w:t>
      </w:r>
      <w:r w:rsidR="0089312C" w:rsidRPr="00DB2795">
        <w:rPr>
          <w:sz w:val="20"/>
          <w:szCs w:val="20"/>
        </w:rPr>
        <w:t xml:space="preserve">Africa, </w:t>
      </w:r>
      <w:r w:rsidR="007C6084" w:rsidRPr="00DB2795">
        <w:rPr>
          <w:sz w:val="20"/>
          <w:szCs w:val="20"/>
        </w:rPr>
        <w:t xml:space="preserve">provided that </w:t>
      </w:r>
      <w:r w:rsidR="0089312C" w:rsidRPr="00DB2795">
        <w:rPr>
          <w:sz w:val="20"/>
          <w:szCs w:val="20"/>
        </w:rPr>
        <w:t xml:space="preserve">additional resources can be allocated for this work directly. </w:t>
      </w:r>
      <w:r w:rsidR="003E0DB7" w:rsidRPr="003E0DB7">
        <w:rPr>
          <w:sz w:val="20"/>
          <w:szCs w:val="20"/>
        </w:rPr>
        <w:t>The PIJ has invested significant time and resources in both creating and helping to sustain MLDI, including securing guarantees of support</w:t>
      </w:r>
      <w:r w:rsidR="0029514B">
        <w:rPr>
          <w:sz w:val="20"/>
          <w:szCs w:val="20"/>
        </w:rPr>
        <w:t xml:space="preserve"> from</w:t>
      </w:r>
      <w:r w:rsidR="003E0DB7" w:rsidRPr="003E0DB7">
        <w:rPr>
          <w:sz w:val="20"/>
          <w:szCs w:val="20"/>
        </w:rPr>
        <w:t xml:space="preserve"> other donors.  In regards to capacity-building for lawyers, MLDI has taken part in</w:t>
      </w:r>
      <w:r w:rsidR="0029514B">
        <w:rPr>
          <w:sz w:val="20"/>
          <w:szCs w:val="20"/>
        </w:rPr>
        <w:t>,</w:t>
      </w:r>
      <w:r w:rsidR="003E0DB7" w:rsidRPr="003E0DB7">
        <w:rPr>
          <w:sz w:val="20"/>
          <w:szCs w:val="20"/>
        </w:rPr>
        <w:t xml:space="preserve"> and funded</w:t>
      </w:r>
      <w:r w:rsidR="0029514B">
        <w:rPr>
          <w:sz w:val="20"/>
          <w:szCs w:val="20"/>
        </w:rPr>
        <w:t>,</w:t>
      </w:r>
      <w:r w:rsidR="003E0DB7" w:rsidRPr="003E0DB7">
        <w:rPr>
          <w:sz w:val="20"/>
          <w:szCs w:val="20"/>
        </w:rPr>
        <w:t xml:space="preserve"> trainings on a variety of issues, ranging from defamation to Internet regulation. More attention though is needed to develop the nascent regional networks of lawyers, which has been difficult due to limitations on MLDI’s time</w:t>
      </w:r>
      <w:r w:rsidR="0029514B">
        <w:rPr>
          <w:sz w:val="20"/>
          <w:szCs w:val="20"/>
        </w:rPr>
        <w:t xml:space="preserve"> and funding</w:t>
      </w:r>
      <w:r w:rsidR="003E0DB7" w:rsidRPr="003E0DB7">
        <w:rPr>
          <w:sz w:val="20"/>
          <w:szCs w:val="20"/>
        </w:rPr>
        <w:t>. It is clear though MLDI’s work has contributed to improving the overall working environment for journalists and the organization and is able to address both “old” and “new” threats to freedom of expression. MLDI has also developed a useful evaluation tool which allows it to measure the impact of its support for legal defence on journalists, many of whom have reported that they became often more critical and hard-hitting in their reporting following successful</w:t>
      </w:r>
      <w:r w:rsidR="00B67536">
        <w:rPr>
          <w:sz w:val="20"/>
          <w:szCs w:val="20"/>
        </w:rPr>
        <w:t xml:space="preserve"> legal </w:t>
      </w:r>
      <w:r w:rsidR="003E0DB7" w:rsidRPr="003E0DB7">
        <w:rPr>
          <w:sz w:val="20"/>
          <w:szCs w:val="20"/>
        </w:rPr>
        <w:t xml:space="preserve">nterventions by MLDI. </w:t>
      </w:r>
    </w:p>
    <w:p w:rsidR="00AD769D" w:rsidRPr="00DB2795" w:rsidRDefault="00AD769D">
      <w:pPr>
        <w:rPr>
          <w:sz w:val="20"/>
          <w:szCs w:val="20"/>
        </w:rPr>
      </w:pPr>
      <w:r w:rsidRPr="00DB2795">
        <w:rPr>
          <w:sz w:val="20"/>
          <w:szCs w:val="20"/>
        </w:rPr>
        <w:t xml:space="preserve">The case study of the Southeast Asia Media Defence Lawyers’ Network provides a useful “lesson learned.” The PIJ had provided support to development of the lawyers’ network in 2012, jointly with the Southeast Asia Initiative and the Burma Program, to ensure it </w:t>
      </w:r>
      <w:r w:rsidR="007C6084" w:rsidRPr="00DB2795">
        <w:rPr>
          <w:sz w:val="20"/>
          <w:szCs w:val="20"/>
        </w:rPr>
        <w:t xml:space="preserve">could </w:t>
      </w:r>
      <w:r w:rsidRPr="00DB2795">
        <w:rPr>
          <w:sz w:val="20"/>
          <w:szCs w:val="20"/>
        </w:rPr>
        <w:t xml:space="preserve">develop into </w:t>
      </w:r>
      <w:r w:rsidR="00AE7411" w:rsidRPr="00DB2795">
        <w:rPr>
          <w:sz w:val="20"/>
          <w:szCs w:val="20"/>
        </w:rPr>
        <w:t xml:space="preserve">a fully functioning organization, </w:t>
      </w:r>
      <w:r w:rsidR="007C6084" w:rsidRPr="00DB2795">
        <w:rPr>
          <w:sz w:val="20"/>
          <w:szCs w:val="20"/>
        </w:rPr>
        <w:t>capable of</w:t>
      </w:r>
      <w:r w:rsidR="00AE7411" w:rsidRPr="00DB2795">
        <w:rPr>
          <w:sz w:val="20"/>
          <w:szCs w:val="20"/>
        </w:rPr>
        <w:t xml:space="preserve"> </w:t>
      </w:r>
      <w:r w:rsidR="007C6084" w:rsidRPr="00DB2795">
        <w:rPr>
          <w:sz w:val="20"/>
          <w:szCs w:val="20"/>
        </w:rPr>
        <w:t xml:space="preserve">providing </w:t>
      </w:r>
      <w:r w:rsidR="00AE7411" w:rsidRPr="00DB2795">
        <w:rPr>
          <w:sz w:val="20"/>
          <w:szCs w:val="20"/>
        </w:rPr>
        <w:t>legal aid to journalists</w:t>
      </w:r>
      <w:r w:rsidR="007C6084" w:rsidRPr="00DB2795">
        <w:rPr>
          <w:sz w:val="20"/>
          <w:szCs w:val="20"/>
        </w:rPr>
        <w:t xml:space="preserve"> and</w:t>
      </w:r>
      <w:r w:rsidR="00AE7411" w:rsidRPr="00DB2795">
        <w:rPr>
          <w:sz w:val="20"/>
          <w:szCs w:val="20"/>
        </w:rPr>
        <w:t xml:space="preserve"> training for lawyers, while </w:t>
      </w:r>
      <w:r w:rsidR="008D796F" w:rsidRPr="00DB2795">
        <w:rPr>
          <w:sz w:val="20"/>
          <w:szCs w:val="20"/>
        </w:rPr>
        <w:t xml:space="preserve">also </w:t>
      </w:r>
      <w:r w:rsidR="00AE7411" w:rsidRPr="00DB2795">
        <w:rPr>
          <w:sz w:val="20"/>
          <w:szCs w:val="20"/>
        </w:rPr>
        <w:t xml:space="preserve">engaging </w:t>
      </w:r>
      <w:r w:rsidR="008D796F" w:rsidRPr="00DB2795">
        <w:rPr>
          <w:sz w:val="20"/>
          <w:szCs w:val="20"/>
        </w:rPr>
        <w:t xml:space="preserve">in </w:t>
      </w:r>
      <w:r w:rsidR="00AE7411" w:rsidRPr="00DB2795">
        <w:rPr>
          <w:sz w:val="20"/>
          <w:szCs w:val="20"/>
        </w:rPr>
        <w:t>media law reform efforts.</w:t>
      </w:r>
      <w:r w:rsidRPr="00DB2795">
        <w:rPr>
          <w:sz w:val="20"/>
          <w:szCs w:val="20"/>
        </w:rPr>
        <w:t xml:space="preserve"> Initially founded during a media law conference at Hong Kong University in 2009</w:t>
      </w:r>
      <w:r w:rsidR="008D796F" w:rsidRPr="00DB2795">
        <w:rPr>
          <w:sz w:val="20"/>
          <w:szCs w:val="20"/>
        </w:rPr>
        <w:t>,</w:t>
      </w:r>
      <w:r w:rsidRPr="00DB2795">
        <w:rPr>
          <w:sz w:val="20"/>
          <w:szCs w:val="20"/>
        </w:rPr>
        <w:t xml:space="preserve"> the network</w:t>
      </w:r>
      <w:r w:rsidR="00B558F3" w:rsidRPr="00DB2795">
        <w:rPr>
          <w:sz w:val="20"/>
          <w:szCs w:val="20"/>
        </w:rPr>
        <w:t xml:space="preserve"> was operating on a more or less ad hoc basis and taking on cases through its network of lawyers. However, tensions between its director and trustees emerged after the organization was registered and its director </w:t>
      </w:r>
      <w:r w:rsidR="008D796F" w:rsidRPr="00DB2795">
        <w:rPr>
          <w:sz w:val="20"/>
          <w:szCs w:val="20"/>
        </w:rPr>
        <w:t>subsequently</w:t>
      </w:r>
      <w:r w:rsidR="00B558F3" w:rsidRPr="00DB2795">
        <w:rPr>
          <w:sz w:val="20"/>
          <w:szCs w:val="20"/>
        </w:rPr>
        <w:t xml:space="preserve"> resigned. </w:t>
      </w:r>
      <w:r w:rsidR="00251FDD" w:rsidRPr="00DB2795">
        <w:rPr>
          <w:sz w:val="20"/>
          <w:szCs w:val="20"/>
        </w:rPr>
        <w:t>Both PIJ and SEA</w:t>
      </w:r>
      <w:r w:rsidR="0029514B">
        <w:rPr>
          <w:sz w:val="20"/>
          <w:szCs w:val="20"/>
        </w:rPr>
        <w:t xml:space="preserve">I staff, as well as MLDI, </w:t>
      </w:r>
      <w:r w:rsidR="00251FDD" w:rsidRPr="00DB2795">
        <w:rPr>
          <w:sz w:val="20"/>
          <w:szCs w:val="20"/>
        </w:rPr>
        <w:t xml:space="preserve">have invested significant efforts in </w:t>
      </w:r>
      <w:r w:rsidR="004B1EDF" w:rsidRPr="00DB2795">
        <w:rPr>
          <w:sz w:val="20"/>
          <w:szCs w:val="20"/>
        </w:rPr>
        <w:t>assist</w:t>
      </w:r>
      <w:r w:rsidR="008D796F" w:rsidRPr="00DB2795">
        <w:rPr>
          <w:sz w:val="20"/>
          <w:szCs w:val="20"/>
        </w:rPr>
        <w:t>ing</w:t>
      </w:r>
      <w:r w:rsidR="004B1EDF" w:rsidRPr="00DB2795">
        <w:rPr>
          <w:sz w:val="20"/>
          <w:szCs w:val="20"/>
        </w:rPr>
        <w:t xml:space="preserve"> the network in the transition period (i.e., supporting a consultant to assist with network-building, etc.).</w:t>
      </w:r>
      <w:r w:rsidR="00A2683B" w:rsidRPr="00DB2795">
        <w:rPr>
          <w:sz w:val="20"/>
          <w:szCs w:val="20"/>
        </w:rPr>
        <w:t xml:space="preserve"> </w:t>
      </w:r>
      <w:r w:rsidR="006511C4">
        <w:rPr>
          <w:sz w:val="20"/>
          <w:szCs w:val="20"/>
        </w:rPr>
        <w:t>This shows that</w:t>
      </w:r>
      <w:r w:rsidR="008E76E2" w:rsidRPr="00DB2795">
        <w:rPr>
          <w:sz w:val="20"/>
          <w:szCs w:val="20"/>
        </w:rPr>
        <w:t xml:space="preserve"> significant time and resources are needed to develop new networks</w:t>
      </w:r>
      <w:r w:rsidR="00D168EC">
        <w:rPr>
          <w:sz w:val="20"/>
          <w:szCs w:val="20"/>
        </w:rPr>
        <w:t>.</w:t>
      </w:r>
      <w:r w:rsidR="008E76E2" w:rsidRPr="00DB2795">
        <w:rPr>
          <w:sz w:val="20"/>
          <w:szCs w:val="20"/>
        </w:rPr>
        <w:t xml:space="preserve"> </w:t>
      </w:r>
    </w:p>
    <w:p w:rsidR="00510138" w:rsidRPr="00DB2795" w:rsidRDefault="00AE7411">
      <w:pPr>
        <w:rPr>
          <w:color w:val="FFFFFF" w:themeColor="background1"/>
          <w:sz w:val="20"/>
          <w:szCs w:val="20"/>
        </w:rPr>
      </w:pPr>
      <w:r w:rsidRPr="00DB2795">
        <w:rPr>
          <w:sz w:val="20"/>
          <w:szCs w:val="20"/>
        </w:rPr>
        <w:t xml:space="preserve">At the same time, Hong Kong University has become a </w:t>
      </w:r>
      <w:r w:rsidR="00BE62CD" w:rsidRPr="00DB2795">
        <w:rPr>
          <w:sz w:val="20"/>
          <w:szCs w:val="20"/>
        </w:rPr>
        <w:t>focus point for Asia in</w:t>
      </w:r>
      <w:r w:rsidRPr="00DB2795">
        <w:rPr>
          <w:sz w:val="20"/>
          <w:szCs w:val="20"/>
        </w:rPr>
        <w:t xml:space="preserve"> bringing together legal experts </w:t>
      </w:r>
      <w:r w:rsidR="0029514B">
        <w:rPr>
          <w:sz w:val="20"/>
          <w:szCs w:val="20"/>
        </w:rPr>
        <w:t xml:space="preserve">to discuss </w:t>
      </w:r>
      <w:r w:rsidRPr="00DB2795">
        <w:rPr>
          <w:sz w:val="20"/>
          <w:szCs w:val="20"/>
        </w:rPr>
        <w:t>media law reform</w:t>
      </w:r>
      <w:r w:rsidR="0029514B">
        <w:rPr>
          <w:sz w:val="20"/>
          <w:szCs w:val="20"/>
        </w:rPr>
        <w:t xml:space="preserve">. In </w:t>
      </w:r>
      <w:r w:rsidR="008E76E2" w:rsidRPr="00DB2795">
        <w:rPr>
          <w:sz w:val="20"/>
          <w:szCs w:val="20"/>
        </w:rPr>
        <w:t>October 2013</w:t>
      </w:r>
      <w:r w:rsidR="0029514B">
        <w:rPr>
          <w:sz w:val="20"/>
          <w:szCs w:val="20"/>
        </w:rPr>
        <w:t xml:space="preserve">, with support from the PIJ, and a number of other OSF programs, </w:t>
      </w:r>
      <w:r w:rsidR="00B90EAF" w:rsidRPr="00DB2795">
        <w:rPr>
          <w:sz w:val="20"/>
          <w:szCs w:val="20"/>
        </w:rPr>
        <w:t>brought together legal experts from around the world to discuss key issues ranging from defamation reform to Interne</w:t>
      </w:r>
      <w:r w:rsidR="00BE62CD" w:rsidRPr="00DB2795">
        <w:rPr>
          <w:sz w:val="20"/>
          <w:szCs w:val="20"/>
        </w:rPr>
        <w:t>t law, with a focus on networking lawyers from different regions and brin</w:t>
      </w:r>
      <w:r w:rsidR="008D796F" w:rsidRPr="00DB2795">
        <w:rPr>
          <w:sz w:val="20"/>
          <w:szCs w:val="20"/>
        </w:rPr>
        <w:t>g</w:t>
      </w:r>
      <w:r w:rsidR="00BE62CD" w:rsidRPr="00DB2795">
        <w:rPr>
          <w:sz w:val="20"/>
          <w:szCs w:val="20"/>
        </w:rPr>
        <w:t xml:space="preserve">ing relevant experience on defamation law reform from the UK. </w:t>
      </w:r>
      <w:r w:rsidR="008E76E2" w:rsidRPr="00DB2795">
        <w:rPr>
          <w:sz w:val="20"/>
          <w:szCs w:val="20"/>
        </w:rPr>
        <w:t>HKU is producing a manual and book, which it will use in future training efforts</w:t>
      </w:r>
      <w:r w:rsidR="006511C4">
        <w:rPr>
          <w:sz w:val="20"/>
          <w:szCs w:val="20"/>
        </w:rPr>
        <w:t xml:space="preserve">. </w:t>
      </w:r>
      <w:r w:rsidR="0029514B">
        <w:rPr>
          <w:sz w:val="20"/>
          <w:szCs w:val="20"/>
        </w:rPr>
        <w:t xml:space="preserve">Discussions are ongoing regarding other potential follow-up activities. </w:t>
      </w:r>
    </w:p>
    <w:p w:rsidR="00960844" w:rsidRPr="00DB2795" w:rsidRDefault="00576C4C" w:rsidP="00D24FED">
      <w:pPr>
        <w:pStyle w:val="Heading7"/>
        <w:numPr>
          <w:ilvl w:val="0"/>
          <w:numId w:val="23"/>
        </w:numPr>
        <w:rPr>
          <w:b/>
          <w:sz w:val="20"/>
          <w:szCs w:val="20"/>
        </w:rPr>
      </w:pPr>
      <w:r w:rsidRPr="00DB2795">
        <w:rPr>
          <w:b/>
          <w:sz w:val="20"/>
          <w:szCs w:val="20"/>
        </w:rPr>
        <w:t xml:space="preserve">Media law and </w:t>
      </w:r>
      <w:r w:rsidR="00510138" w:rsidRPr="00DB2795">
        <w:rPr>
          <w:b/>
          <w:sz w:val="20"/>
          <w:szCs w:val="20"/>
        </w:rPr>
        <w:t>research</w:t>
      </w:r>
    </w:p>
    <w:p w:rsidR="00C46602" w:rsidRPr="00DB2795" w:rsidRDefault="00C46602" w:rsidP="004436C4">
      <w:pPr>
        <w:pBdr>
          <w:top w:val="single" w:sz="4" w:space="1" w:color="auto"/>
          <w:left w:val="single" w:sz="4" w:space="4" w:color="auto"/>
          <w:bottom w:val="single" w:sz="4" w:space="1" w:color="auto"/>
          <w:right w:val="single" w:sz="4" w:space="4" w:color="auto"/>
        </w:pBdr>
        <w:rPr>
          <w:b/>
          <w:sz w:val="20"/>
          <w:szCs w:val="20"/>
        </w:rPr>
      </w:pPr>
      <w:r w:rsidRPr="00DB2795">
        <w:rPr>
          <w:b/>
          <w:sz w:val="20"/>
          <w:szCs w:val="20"/>
        </w:rPr>
        <w:t xml:space="preserve">Grantees:  World Association of Newspapers, </w:t>
      </w:r>
      <w:r w:rsidR="00D00F8D">
        <w:rPr>
          <w:b/>
          <w:sz w:val="20"/>
          <w:szCs w:val="20"/>
        </w:rPr>
        <w:t>UNESCO/</w:t>
      </w:r>
      <w:r w:rsidRPr="00DB2795">
        <w:rPr>
          <w:b/>
          <w:sz w:val="20"/>
          <w:szCs w:val="20"/>
        </w:rPr>
        <w:t>University of Pennsylvania, Southeast European Network for Professionalization of the Media (SEENPM), Central European University, Centro  de Archivo y Accesso a la Information Publica</w:t>
      </w:r>
      <w:r w:rsidR="00F4125C" w:rsidRPr="00DB2795">
        <w:rPr>
          <w:b/>
          <w:sz w:val="20"/>
          <w:szCs w:val="20"/>
        </w:rPr>
        <w:t>, Uruguay</w:t>
      </w:r>
      <w:r w:rsidR="00042F0D">
        <w:rPr>
          <w:b/>
          <w:sz w:val="20"/>
          <w:szCs w:val="20"/>
        </w:rPr>
        <w:br/>
      </w:r>
      <w:r w:rsidRPr="00DB2795">
        <w:rPr>
          <w:b/>
          <w:sz w:val="20"/>
          <w:szCs w:val="20"/>
        </w:rPr>
        <w:t>Program funding:</w:t>
      </w:r>
      <w:r w:rsidR="00774FFB" w:rsidRPr="00DB2795">
        <w:rPr>
          <w:b/>
          <w:sz w:val="20"/>
          <w:szCs w:val="20"/>
        </w:rPr>
        <w:tab/>
      </w:r>
      <w:r w:rsidRPr="00DB2795">
        <w:rPr>
          <w:b/>
          <w:sz w:val="20"/>
          <w:szCs w:val="20"/>
        </w:rPr>
        <w:t>$207,769</w:t>
      </w:r>
    </w:p>
    <w:p w:rsidR="00C46602" w:rsidRPr="00DB2795" w:rsidRDefault="00C46602">
      <w:pPr>
        <w:rPr>
          <w:sz w:val="20"/>
          <w:szCs w:val="20"/>
        </w:rPr>
      </w:pPr>
      <w:r w:rsidRPr="00DB2795">
        <w:rPr>
          <w:sz w:val="20"/>
          <w:szCs w:val="20"/>
        </w:rPr>
        <w:t xml:space="preserve">As noted in </w:t>
      </w:r>
      <w:r w:rsidR="003F7389" w:rsidRPr="00DB2795">
        <w:rPr>
          <w:sz w:val="20"/>
          <w:szCs w:val="20"/>
        </w:rPr>
        <w:t xml:space="preserve">the clarification </w:t>
      </w:r>
      <w:r w:rsidRPr="00DB2795">
        <w:rPr>
          <w:sz w:val="20"/>
          <w:szCs w:val="20"/>
        </w:rPr>
        <w:t xml:space="preserve">on the strategy, most of the work in this area has </w:t>
      </w:r>
      <w:r w:rsidR="003F7389" w:rsidRPr="00DB2795">
        <w:rPr>
          <w:sz w:val="20"/>
          <w:szCs w:val="20"/>
        </w:rPr>
        <w:t>been r</w:t>
      </w:r>
      <w:r w:rsidR="00042F0D">
        <w:rPr>
          <w:sz w:val="20"/>
          <w:szCs w:val="20"/>
        </w:rPr>
        <w:t>eactive</w:t>
      </w:r>
      <w:r w:rsidR="003F7389" w:rsidRPr="00DB2795">
        <w:rPr>
          <w:sz w:val="20"/>
          <w:szCs w:val="20"/>
        </w:rPr>
        <w:t xml:space="preserve"> given that </w:t>
      </w:r>
      <w:r w:rsidR="00042F0D">
        <w:rPr>
          <w:sz w:val="20"/>
          <w:szCs w:val="20"/>
        </w:rPr>
        <w:t>there was no</w:t>
      </w:r>
      <w:r w:rsidR="003F7389" w:rsidRPr="00DB2795">
        <w:rPr>
          <w:sz w:val="20"/>
          <w:szCs w:val="20"/>
        </w:rPr>
        <w:t xml:space="preserve"> specific strategy planned to address media law and research</w:t>
      </w:r>
      <w:r w:rsidR="0029514B">
        <w:rPr>
          <w:sz w:val="20"/>
          <w:szCs w:val="20"/>
        </w:rPr>
        <w:t>,</w:t>
      </w:r>
      <w:r w:rsidR="003F7389" w:rsidRPr="00DB2795">
        <w:rPr>
          <w:sz w:val="20"/>
          <w:szCs w:val="20"/>
        </w:rPr>
        <w:t xml:space="preserve"> per se.</w:t>
      </w:r>
      <w:r w:rsidRPr="00DB2795">
        <w:rPr>
          <w:sz w:val="20"/>
          <w:szCs w:val="20"/>
        </w:rPr>
        <w:t xml:space="preserve"> </w:t>
      </w:r>
    </w:p>
    <w:p w:rsidR="0098714A" w:rsidRPr="00DB2795" w:rsidRDefault="00F44074">
      <w:pPr>
        <w:rPr>
          <w:sz w:val="20"/>
          <w:szCs w:val="20"/>
        </w:rPr>
      </w:pPr>
      <w:r w:rsidRPr="00DB2795">
        <w:rPr>
          <w:sz w:val="20"/>
          <w:szCs w:val="20"/>
        </w:rPr>
        <w:t xml:space="preserve">In 2013, </w:t>
      </w:r>
      <w:r w:rsidR="003F7389" w:rsidRPr="00DB2795">
        <w:rPr>
          <w:sz w:val="20"/>
          <w:szCs w:val="20"/>
        </w:rPr>
        <w:t xml:space="preserve">however, </w:t>
      </w:r>
      <w:r w:rsidRPr="00DB2795">
        <w:rPr>
          <w:sz w:val="20"/>
          <w:szCs w:val="20"/>
        </w:rPr>
        <w:t xml:space="preserve">following a series of meetings with OSJI and the Information Program, the PIJ agreed to </w:t>
      </w:r>
      <w:r w:rsidR="00624754" w:rsidRPr="00DB2795">
        <w:rPr>
          <w:sz w:val="20"/>
          <w:szCs w:val="20"/>
        </w:rPr>
        <w:t>support work</w:t>
      </w:r>
      <w:r w:rsidR="00D26BFF" w:rsidRPr="00DB2795">
        <w:rPr>
          <w:sz w:val="20"/>
          <w:szCs w:val="20"/>
        </w:rPr>
        <w:t xml:space="preserve"> elaborating standards on</w:t>
      </w:r>
      <w:r w:rsidRPr="00DB2795">
        <w:rPr>
          <w:sz w:val="20"/>
          <w:szCs w:val="20"/>
        </w:rPr>
        <w:t xml:space="preserve"> “intermediary liability” (i.e., </w:t>
      </w:r>
      <w:r w:rsidR="00D26BFF" w:rsidRPr="00DB2795">
        <w:rPr>
          <w:sz w:val="20"/>
          <w:szCs w:val="20"/>
        </w:rPr>
        <w:t xml:space="preserve">to define </w:t>
      </w:r>
      <w:r w:rsidR="00554571" w:rsidRPr="00DB2795">
        <w:rPr>
          <w:sz w:val="20"/>
          <w:szCs w:val="20"/>
        </w:rPr>
        <w:t xml:space="preserve">who should be held </w:t>
      </w:r>
      <w:r w:rsidRPr="00DB2795">
        <w:rPr>
          <w:sz w:val="20"/>
          <w:szCs w:val="20"/>
        </w:rPr>
        <w:t xml:space="preserve">accountable for content on the Internet, </w:t>
      </w:r>
      <w:r w:rsidR="00554571" w:rsidRPr="00DB2795">
        <w:rPr>
          <w:sz w:val="20"/>
          <w:szCs w:val="20"/>
        </w:rPr>
        <w:t xml:space="preserve">and in which context, </w:t>
      </w:r>
      <w:r w:rsidRPr="00DB2795">
        <w:rPr>
          <w:sz w:val="20"/>
          <w:szCs w:val="20"/>
        </w:rPr>
        <w:t xml:space="preserve">such as the ISP, the web-host, the end user, </w:t>
      </w:r>
      <w:r w:rsidR="005A3DA2" w:rsidRPr="00DB2795">
        <w:rPr>
          <w:sz w:val="20"/>
          <w:szCs w:val="20"/>
        </w:rPr>
        <w:t xml:space="preserve">the media outlet, </w:t>
      </w:r>
      <w:r w:rsidRPr="00DB2795">
        <w:rPr>
          <w:sz w:val="20"/>
          <w:szCs w:val="20"/>
        </w:rPr>
        <w:t xml:space="preserve">etc.). </w:t>
      </w:r>
      <w:r w:rsidR="00D26BFF" w:rsidRPr="00DB2795">
        <w:rPr>
          <w:sz w:val="20"/>
          <w:szCs w:val="20"/>
        </w:rPr>
        <w:t xml:space="preserve">For the PIJ, the main goal was to ensure that such standards ultimately </w:t>
      </w:r>
      <w:r w:rsidR="00624754" w:rsidRPr="00DB2795">
        <w:rPr>
          <w:sz w:val="20"/>
          <w:szCs w:val="20"/>
        </w:rPr>
        <w:t>might provide stricter limits on liability for</w:t>
      </w:r>
      <w:r w:rsidR="00D26BFF" w:rsidRPr="00DB2795">
        <w:rPr>
          <w:sz w:val="20"/>
          <w:szCs w:val="20"/>
        </w:rPr>
        <w:t xml:space="preserve"> media outlets, in particular for online content which they moderated. </w:t>
      </w:r>
      <w:r w:rsidR="00D00F8D">
        <w:rPr>
          <w:sz w:val="20"/>
          <w:szCs w:val="20"/>
        </w:rPr>
        <w:t xml:space="preserve">Since then we have proactively sought out two initiatives, one with the World Association of Newspapers, to survey its members on best practices for moderating online commentary and another </w:t>
      </w:r>
      <w:r w:rsidR="0029514B">
        <w:rPr>
          <w:sz w:val="20"/>
          <w:szCs w:val="20"/>
        </w:rPr>
        <w:t xml:space="preserve">with </w:t>
      </w:r>
      <w:r w:rsidR="00D00F8D">
        <w:rPr>
          <w:sz w:val="20"/>
          <w:szCs w:val="20"/>
        </w:rPr>
        <w:t xml:space="preserve">UNESCO to assess more broadly how governments around the world are applying laws </w:t>
      </w:r>
      <w:r w:rsidR="0029514B">
        <w:rPr>
          <w:sz w:val="20"/>
          <w:szCs w:val="20"/>
        </w:rPr>
        <w:t xml:space="preserve">on intermediary liability, </w:t>
      </w:r>
      <w:r w:rsidR="00D00F8D">
        <w:rPr>
          <w:sz w:val="20"/>
          <w:szCs w:val="20"/>
        </w:rPr>
        <w:t xml:space="preserve">in practice. In addition, we have supported a conference with the </w:t>
      </w:r>
      <w:r w:rsidR="0072461E" w:rsidRPr="00DB2795">
        <w:rPr>
          <w:sz w:val="20"/>
          <w:szCs w:val="20"/>
        </w:rPr>
        <w:t xml:space="preserve">Southeast European Network for Professionalization of the Media (SEENPM) </w:t>
      </w:r>
      <w:r w:rsidR="00D00F8D">
        <w:rPr>
          <w:sz w:val="20"/>
          <w:szCs w:val="20"/>
        </w:rPr>
        <w:t>to discuss how</w:t>
      </w:r>
      <w:r w:rsidR="0072461E" w:rsidRPr="00DB2795">
        <w:rPr>
          <w:sz w:val="20"/>
          <w:szCs w:val="20"/>
        </w:rPr>
        <w:t xml:space="preserve"> media websites are being hel</w:t>
      </w:r>
      <w:r w:rsidR="00554571" w:rsidRPr="00DB2795">
        <w:rPr>
          <w:sz w:val="20"/>
          <w:szCs w:val="20"/>
        </w:rPr>
        <w:t>d accountable for “hate speech</w:t>
      </w:r>
      <w:r w:rsidR="00D00F8D">
        <w:rPr>
          <w:sz w:val="20"/>
          <w:szCs w:val="20"/>
        </w:rPr>
        <w:t>.</w:t>
      </w:r>
      <w:r w:rsidR="00554571" w:rsidRPr="00DB2795">
        <w:rPr>
          <w:sz w:val="20"/>
          <w:szCs w:val="20"/>
        </w:rPr>
        <w:t xml:space="preserve">” </w:t>
      </w:r>
    </w:p>
    <w:p w:rsidR="003F7389" w:rsidRPr="00DB2795" w:rsidRDefault="00A2683B">
      <w:pPr>
        <w:rPr>
          <w:sz w:val="20"/>
          <w:szCs w:val="20"/>
        </w:rPr>
      </w:pPr>
      <w:r w:rsidRPr="00DB2795">
        <w:rPr>
          <w:sz w:val="20"/>
          <w:szCs w:val="20"/>
        </w:rPr>
        <w:t xml:space="preserve">We also supported </w:t>
      </w:r>
      <w:r w:rsidR="0029514B">
        <w:rPr>
          <w:sz w:val="20"/>
          <w:szCs w:val="20"/>
        </w:rPr>
        <w:t xml:space="preserve">an additional research project, </w:t>
      </w:r>
      <w:r w:rsidR="009B4545" w:rsidRPr="00DB2795">
        <w:rPr>
          <w:sz w:val="20"/>
          <w:szCs w:val="20"/>
        </w:rPr>
        <w:t xml:space="preserve">to </w:t>
      </w:r>
      <w:r w:rsidR="0029514B">
        <w:rPr>
          <w:sz w:val="20"/>
          <w:szCs w:val="20"/>
        </w:rPr>
        <w:t>assist a professor</w:t>
      </w:r>
      <w:r w:rsidR="009B4545" w:rsidRPr="00DB2795">
        <w:rPr>
          <w:sz w:val="20"/>
          <w:szCs w:val="20"/>
        </w:rPr>
        <w:t xml:space="preserve"> at the Central European University</w:t>
      </w:r>
      <w:r w:rsidR="0029514B">
        <w:rPr>
          <w:sz w:val="20"/>
          <w:szCs w:val="20"/>
        </w:rPr>
        <w:t>,</w:t>
      </w:r>
      <w:r w:rsidR="009B4545" w:rsidRPr="00DB2795">
        <w:rPr>
          <w:sz w:val="20"/>
          <w:szCs w:val="20"/>
        </w:rPr>
        <w:t xml:space="preserve"> to conduct research on the functioning of the media regulatory body in Hungary</w:t>
      </w:r>
      <w:r w:rsidR="00D00F8D">
        <w:rPr>
          <w:sz w:val="20"/>
          <w:szCs w:val="20"/>
        </w:rPr>
        <w:t>. However, t</w:t>
      </w:r>
      <w:r w:rsidR="00413DD0" w:rsidRPr="00DB2795">
        <w:rPr>
          <w:sz w:val="20"/>
          <w:szCs w:val="20"/>
        </w:rPr>
        <w:t>he resulting report was unusable, due in part to the lack of clear methodology and deliverables outlined in the grant agreement, and in part to the grantee’s inability to deliver a better product.</w:t>
      </w:r>
      <w:r w:rsidRPr="00DB2795">
        <w:rPr>
          <w:sz w:val="20"/>
          <w:szCs w:val="20"/>
        </w:rPr>
        <w:t xml:space="preserve"> </w:t>
      </w:r>
    </w:p>
    <w:p w:rsidR="00F4125C" w:rsidRPr="00DB2795" w:rsidRDefault="00F4125C">
      <w:pPr>
        <w:rPr>
          <w:sz w:val="20"/>
          <w:szCs w:val="20"/>
        </w:rPr>
      </w:pPr>
      <w:r w:rsidRPr="00DB2795">
        <w:rPr>
          <w:sz w:val="20"/>
          <w:szCs w:val="20"/>
        </w:rPr>
        <w:t xml:space="preserve">There are two </w:t>
      </w:r>
      <w:r w:rsidR="009B169C" w:rsidRPr="00DB2795">
        <w:rPr>
          <w:sz w:val="20"/>
          <w:szCs w:val="20"/>
        </w:rPr>
        <w:t xml:space="preserve">national </w:t>
      </w:r>
      <w:r w:rsidRPr="00DB2795">
        <w:rPr>
          <w:sz w:val="20"/>
          <w:szCs w:val="20"/>
        </w:rPr>
        <w:t xml:space="preserve">media law initiatives </w:t>
      </w:r>
      <w:r w:rsidR="00A2683B" w:rsidRPr="00DB2795">
        <w:rPr>
          <w:sz w:val="20"/>
          <w:szCs w:val="20"/>
        </w:rPr>
        <w:t xml:space="preserve">included in the review. </w:t>
      </w:r>
      <w:r w:rsidRPr="00DB2795">
        <w:rPr>
          <w:sz w:val="20"/>
          <w:szCs w:val="20"/>
        </w:rPr>
        <w:t>Our main effort to support “libel reform” in the UK through English PEN was been quite successful</w:t>
      </w:r>
      <w:r w:rsidR="0029514B">
        <w:rPr>
          <w:sz w:val="20"/>
          <w:szCs w:val="20"/>
        </w:rPr>
        <w:t>, working jointly with the Information Program</w:t>
      </w:r>
      <w:r w:rsidRPr="00DB2795">
        <w:rPr>
          <w:sz w:val="20"/>
          <w:szCs w:val="20"/>
        </w:rPr>
        <w:t>. By partnering with other institutions PEN was able to effectively reform the country’s libel law to make it more difficult</w:t>
      </w:r>
      <w:r w:rsidR="0029514B">
        <w:rPr>
          <w:sz w:val="20"/>
          <w:szCs w:val="20"/>
        </w:rPr>
        <w:t>,</w:t>
      </w:r>
      <w:r w:rsidRPr="00DB2795">
        <w:rPr>
          <w:sz w:val="20"/>
          <w:szCs w:val="20"/>
        </w:rPr>
        <w:t xml:space="preserve"> in particular</w:t>
      </w:r>
      <w:r w:rsidR="0029514B">
        <w:rPr>
          <w:sz w:val="20"/>
          <w:szCs w:val="20"/>
        </w:rPr>
        <w:t>,</w:t>
      </w:r>
      <w:r w:rsidRPr="00DB2795">
        <w:rPr>
          <w:sz w:val="20"/>
          <w:szCs w:val="20"/>
        </w:rPr>
        <w:t xml:space="preserve"> for foreign claimants to seek redress in British </w:t>
      </w:r>
      <w:r w:rsidR="00A2683B" w:rsidRPr="00DB2795">
        <w:rPr>
          <w:sz w:val="20"/>
          <w:szCs w:val="20"/>
        </w:rPr>
        <w:t>courts. This</w:t>
      </w:r>
      <w:r w:rsidR="00371616">
        <w:rPr>
          <w:sz w:val="20"/>
          <w:szCs w:val="20"/>
        </w:rPr>
        <w:t xml:space="preserve"> effort </w:t>
      </w:r>
      <w:r w:rsidR="00A2683B" w:rsidRPr="00DB2795">
        <w:rPr>
          <w:sz w:val="20"/>
          <w:szCs w:val="20"/>
        </w:rPr>
        <w:t xml:space="preserve">has had a multi-plier </w:t>
      </w:r>
      <w:r w:rsidR="006511C4">
        <w:rPr>
          <w:sz w:val="20"/>
          <w:szCs w:val="20"/>
        </w:rPr>
        <w:t xml:space="preserve">effect </w:t>
      </w:r>
      <w:r w:rsidR="00042F0D">
        <w:rPr>
          <w:sz w:val="20"/>
          <w:szCs w:val="20"/>
        </w:rPr>
        <w:t>in</w:t>
      </w:r>
      <w:r w:rsidR="006511C4">
        <w:rPr>
          <w:sz w:val="20"/>
          <w:szCs w:val="20"/>
        </w:rPr>
        <w:t xml:space="preserve"> encouraging </w:t>
      </w:r>
      <w:r w:rsidR="00A2683B" w:rsidRPr="00DB2795">
        <w:rPr>
          <w:sz w:val="20"/>
          <w:szCs w:val="20"/>
        </w:rPr>
        <w:t xml:space="preserve">broader defamation law reform across Europe. </w:t>
      </w:r>
    </w:p>
    <w:p w:rsidR="003F7389" w:rsidRPr="00DB2795" w:rsidRDefault="003F7389">
      <w:pPr>
        <w:rPr>
          <w:sz w:val="20"/>
          <w:szCs w:val="20"/>
        </w:rPr>
      </w:pPr>
      <w:r w:rsidRPr="00DB2795">
        <w:rPr>
          <w:sz w:val="20"/>
          <w:szCs w:val="20"/>
        </w:rPr>
        <w:t xml:space="preserve">Finally, we supported a </w:t>
      </w:r>
      <w:r w:rsidR="00A2683B" w:rsidRPr="00DB2795">
        <w:rPr>
          <w:sz w:val="20"/>
          <w:szCs w:val="20"/>
        </w:rPr>
        <w:t xml:space="preserve">public awareness campaign </w:t>
      </w:r>
      <w:r w:rsidR="008323D2">
        <w:rPr>
          <w:sz w:val="20"/>
          <w:szCs w:val="20"/>
        </w:rPr>
        <w:t xml:space="preserve">in Uruguay so as to seek broader consensus on the </w:t>
      </w:r>
      <w:r w:rsidR="00044133">
        <w:rPr>
          <w:sz w:val="20"/>
          <w:szCs w:val="20"/>
        </w:rPr>
        <w:t xml:space="preserve">new </w:t>
      </w:r>
      <w:r w:rsidR="00044133" w:rsidRPr="00DB2795">
        <w:rPr>
          <w:sz w:val="20"/>
          <w:szCs w:val="20"/>
        </w:rPr>
        <w:t>broadcasting</w:t>
      </w:r>
      <w:r w:rsidR="00DB31FD" w:rsidRPr="00DB2795">
        <w:rPr>
          <w:sz w:val="20"/>
          <w:szCs w:val="20"/>
        </w:rPr>
        <w:t xml:space="preserve"> law</w:t>
      </w:r>
      <w:r w:rsidR="008323D2">
        <w:rPr>
          <w:sz w:val="20"/>
          <w:szCs w:val="20"/>
        </w:rPr>
        <w:t>,</w:t>
      </w:r>
      <w:r w:rsidR="00DB31FD" w:rsidRPr="00DB2795">
        <w:rPr>
          <w:sz w:val="20"/>
          <w:szCs w:val="20"/>
        </w:rPr>
        <w:t xml:space="preserve"> </w:t>
      </w:r>
      <w:r w:rsidR="008323D2" w:rsidRPr="00DB2795">
        <w:rPr>
          <w:sz w:val="20"/>
          <w:szCs w:val="20"/>
        </w:rPr>
        <w:t xml:space="preserve">which </w:t>
      </w:r>
      <w:r w:rsidR="00044133">
        <w:rPr>
          <w:sz w:val="20"/>
          <w:szCs w:val="20"/>
        </w:rPr>
        <w:t xml:space="preserve">is </w:t>
      </w:r>
      <w:r w:rsidR="0029514B">
        <w:rPr>
          <w:sz w:val="20"/>
          <w:szCs w:val="20"/>
        </w:rPr>
        <w:t>considered to be a model</w:t>
      </w:r>
      <w:r w:rsidR="008323D2" w:rsidRPr="00DB2795">
        <w:rPr>
          <w:sz w:val="20"/>
          <w:szCs w:val="20"/>
        </w:rPr>
        <w:t xml:space="preserve"> </w:t>
      </w:r>
      <w:r w:rsidR="00044133">
        <w:rPr>
          <w:sz w:val="20"/>
          <w:szCs w:val="20"/>
        </w:rPr>
        <w:t>law for the region</w:t>
      </w:r>
      <w:r w:rsidR="0029514B">
        <w:rPr>
          <w:sz w:val="20"/>
          <w:szCs w:val="20"/>
        </w:rPr>
        <w:t>, with the expectation that this might promote further reform elsewhere</w:t>
      </w:r>
      <w:r w:rsidR="00044133">
        <w:rPr>
          <w:sz w:val="20"/>
          <w:szCs w:val="20"/>
        </w:rPr>
        <w:t>.</w:t>
      </w:r>
    </w:p>
    <w:p w:rsidR="004034FF" w:rsidRPr="00DB2795" w:rsidRDefault="00DB31FD">
      <w:pPr>
        <w:rPr>
          <w:sz w:val="20"/>
          <w:szCs w:val="20"/>
        </w:rPr>
      </w:pPr>
      <w:r w:rsidRPr="00DB2795">
        <w:rPr>
          <w:sz w:val="20"/>
          <w:szCs w:val="20"/>
        </w:rPr>
        <w:t xml:space="preserve">It is difficult to say whether any of these efforts </w:t>
      </w:r>
      <w:r w:rsidR="008323D2">
        <w:rPr>
          <w:sz w:val="20"/>
          <w:szCs w:val="20"/>
        </w:rPr>
        <w:t>will bear additional fruit,</w:t>
      </w:r>
      <w:r w:rsidR="00F44279" w:rsidRPr="00DB2795">
        <w:rPr>
          <w:sz w:val="20"/>
          <w:szCs w:val="20"/>
        </w:rPr>
        <w:t xml:space="preserve"> although the research projects on online liability could prove still to be quite useful, if followed through with and used for training purposes</w:t>
      </w:r>
      <w:r w:rsidRPr="00DB2795">
        <w:rPr>
          <w:sz w:val="20"/>
          <w:szCs w:val="20"/>
        </w:rPr>
        <w:t>.</w:t>
      </w:r>
      <w:r w:rsidR="00F44279" w:rsidRPr="00DB2795">
        <w:rPr>
          <w:sz w:val="20"/>
          <w:szCs w:val="20"/>
        </w:rPr>
        <w:t xml:space="preserve"> </w:t>
      </w:r>
      <w:r w:rsidR="008323D2">
        <w:rPr>
          <w:sz w:val="20"/>
          <w:szCs w:val="20"/>
        </w:rPr>
        <w:t xml:space="preserve">It is </w:t>
      </w:r>
      <w:r w:rsidR="00D168EC">
        <w:rPr>
          <w:sz w:val="20"/>
          <w:szCs w:val="20"/>
        </w:rPr>
        <w:t>not clear how</w:t>
      </w:r>
      <w:r w:rsidR="008323D2">
        <w:rPr>
          <w:sz w:val="20"/>
          <w:szCs w:val="20"/>
        </w:rPr>
        <w:t xml:space="preserve"> supporting ad hoc conference and events</w:t>
      </w:r>
      <w:r w:rsidR="00D168EC">
        <w:rPr>
          <w:sz w:val="20"/>
          <w:szCs w:val="20"/>
        </w:rPr>
        <w:t xml:space="preserve"> </w:t>
      </w:r>
      <w:r w:rsidR="00371616">
        <w:rPr>
          <w:sz w:val="20"/>
          <w:szCs w:val="20"/>
        </w:rPr>
        <w:t xml:space="preserve">helps to </w:t>
      </w:r>
      <w:r w:rsidR="008323D2">
        <w:rPr>
          <w:sz w:val="20"/>
          <w:szCs w:val="20"/>
        </w:rPr>
        <w:t xml:space="preserve">develop </w:t>
      </w:r>
      <w:r w:rsidR="00371616">
        <w:rPr>
          <w:sz w:val="20"/>
          <w:szCs w:val="20"/>
        </w:rPr>
        <w:t>the field directly.</w:t>
      </w:r>
      <w:r w:rsidR="008323D2">
        <w:rPr>
          <w:sz w:val="20"/>
          <w:szCs w:val="20"/>
        </w:rPr>
        <w:t xml:space="preserve"> </w:t>
      </w:r>
    </w:p>
    <w:p w:rsidR="00CA3C60" w:rsidRPr="00DB2795" w:rsidRDefault="00D24840" w:rsidP="009A7B7B">
      <w:pPr>
        <w:pStyle w:val="Heading4"/>
        <w:rPr>
          <w:sz w:val="20"/>
          <w:szCs w:val="20"/>
        </w:rPr>
      </w:pPr>
      <w:r w:rsidRPr="00DB2795">
        <w:rPr>
          <w:sz w:val="20"/>
          <w:szCs w:val="20"/>
        </w:rPr>
        <w:t xml:space="preserve">V. Lessons </w:t>
      </w:r>
      <w:r w:rsidR="00774FFB" w:rsidRPr="00DB2795">
        <w:rPr>
          <w:sz w:val="20"/>
          <w:szCs w:val="20"/>
        </w:rPr>
        <w:t>L</w:t>
      </w:r>
      <w:r w:rsidRPr="00DB2795">
        <w:rPr>
          <w:sz w:val="20"/>
          <w:szCs w:val="20"/>
        </w:rPr>
        <w:t xml:space="preserve">earned and Questions for </w:t>
      </w:r>
      <w:r w:rsidR="00774FFB" w:rsidRPr="00DB2795">
        <w:rPr>
          <w:sz w:val="20"/>
          <w:szCs w:val="20"/>
        </w:rPr>
        <w:t>O</w:t>
      </w:r>
      <w:r w:rsidR="00A2683B" w:rsidRPr="00DB2795">
        <w:rPr>
          <w:sz w:val="20"/>
          <w:szCs w:val="20"/>
        </w:rPr>
        <w:t>ur Future Work</w:t>
      </w:r>
      <w:r w:rsidR="009A7B7B" w:rsidRPr="00DB2795">
        <w:rPr>
          <w:sz w:val="20"/>
          <w:szCs w:val="20"/>
        </w:rPr>
        <w:br/>
      </w:r>
    </w:p>
    <w:p w:rsidR="00CE02F8" w:rsidRPr="00DB2795" w:rsidRDefault="00D26BFF">
      <w:pPr>
        <w:rPr>
          <w:sz w:val="20"/>
          <w:szCs w:val="20"/>
        </w:rPr>
      </w:pPr>
      <w:r w:rsidRPr="00DB2795">
        <w:rPr>
          <w:b/>
          <w:color w:val="000000" w:themeColor="text1"/>
          <w:sz w:val="20"/>
          <w:szCs w:val="20"/>
        </w:rPr>
        <w:t>Observation</w:t>
      </w:r>
      <w:r w:rsidR="00F779B4" w:rsidRPr="00DB2795">
        <w:rPr>
          <w:b/>
          <w:color w:val="000000" w:themeColor="text1"/>
          <w:sz w:val="20"/>
          <w:szCs w:val="20"/>
        </w:rPr>
        <w:t xml:space="preserve"> 1</w:t>
      </w:r>
      <w:r w:rsidRPr="00DB2795">
        <w:rPr>
          <w:b/>
          <w:color w:val="000000" w:themeColor="text1"/>
          <w:sz w:val="20"/>
          <w:szCs w:val="20"/>
        </w:rPr>
        <w:t>:</w:t>
      </w:r>
      <w:r w:rsidRPr="00DB2795">
        <w:rPr>
          <w:color w:val="000000" w:themeColor="text1"/>
          <w:sz w:val="20"/>
          <w:szCs w:val="20"/>
        </w:rPr>
        <w:t xml:space="preserve"> </w:t>
      </w:r>
      <w:r w:rsidR="0072461E" w:rsidRPr="00DB2795">
        <w:rPr>
          <w:sz w:val="20"/>
          <w:szCs w:val="20"/>
        </w:rPr>
        <w:t xml:space="preserve">To a large extent the freedom of expression portfolio has attempted to retain </w:t>
      </w:r>
      <w:r w:rsidR="00BC3644" w:rsidRPr="00DB2795">
        <w:rPr>
          <w:sz w:val="20"/>
          <w:szCs w:val="20"/>
        </w:rPr>
        <w:t>the scope to be</w:t>
      </w:r>
      <w:r w:rsidR="0072461E" w:rsidRPr="00DB2795">
        <w:rPr>
          <w:sz w:val="20"/>
          <w:szCs w:val="20"/>
        </w:rPr>
        <w:t xml:space="preserve"> reactive, so as to be able to address </w:t>
      </w:r>
      <w:r w:rsidR="00BC3644" w:rsidRPr="00DB2795">
        <w:rPr>
          <w:sz w:val="20"/>
          <w:szCs w:val="20"/>
        </w:rPr>
        <w:t xml:space="preserve">urgent </w:t>
      </w:r>
      <w:r w:rsidR="0072461E" w:rsidRPr="00DB2795">
        <w:rPr>
          <w:sz w:val="20"/>
          <w:szCs w:val="20"/>
        </w:rPr>
        <w:t xml:space="preserve">concerns and issues as they arise. This has been particularly useful when addressing </w:t>
      </w:r>
      <w:r w:rsidR="00E53BCD" w:rsidRPr="00DB2795">
        <w:rPr>
          <w:sz w:val="20"/>
          <w:szCs w:val="20"/>
        </w:rPr>
        <w:t>new threats</w:t>
      </w:r>
      <w:r w:rsidR="0072461E" w:rsidRPr="00DB2795">
        <w:rPr>
          <w:sz w:val="20"/>
          <w:szCs w:val="20"/>
        </w:rPr>
        <w:t xml:space="preserve"> </w:t>
      </w:r>
      <w:r w:rsidR="00BC3644" w:rsidRPr="00DB2795">
        <w:rPr>
          <w:sz w:val="20"/>
          <w:szCs w:val="20"/>
        </w:rPr>
        <w:t xml:space="preserve">such </w:t>
      </w:r>
      <w:r w:rsidR="0072461E" w:rsidRPr="00DB2795">
        <w:rPr>
          <w:sz w:val="20"/>
          <w:szCs w:val="20"/>
        </w:rPr>
        <w:t>as the individual safety of journalists (i.e., such as support for safety funds, etc.)</w:t>
      </w:r>
      <w:r w:rsidR="00BC3644" w:rsidRPr="00DB2795">
        <w:rPr>
          <w:sz w:val="20"/>
          <w:szCs w:val="20"/>
        </w:rPr>
        <w:t>.</w:t>
      </w:r>
      <w:r w:rsidR="0072461E" w:rsidRPr="00DB2795">
        <w:rPr>
          <w:sz w:val="20"/>
          <w:szCs w:val="20"/>
        </w:rPr>
        <w:t xml:space="preserve"> </w:t>
      </w:r>
      <w:r w:rsidR="008E76E2" w:rsidRPr="00DB2795">
        <w:rPr>
          <w:sz w:val="20"/>
          <w:szCs w:val="20"/>
        </w:rPr>
        <w:t>However, most of the grants in the portfolio have developed as concepts initiated by the team, which has mean</w:t>
      </w:r>
      <w:r w:rsidR="00332AC0">
        <w:rPr>
          <w:sz w:val="20"/>
          <w:szCs w:val="20"/>
        </w:rPr>
        <w:t>t potentially less focus on “</w:t>
      </w:r>
      <w:r w:rsidR="008E76E2" w:rsidRPr="00DB2795">
        <w:rPr>
          <w:sz w:val="20"/>
          <w:szCs w:val="20"/>
        </w:rPr>
        <w:t>field-building</w:t>
      </w:r>
      <w:r w:rsidR="00332AC0">
        <w:rPr>
          <w:sz w:val="20"/>
          <w:szCs w:val="20"/>
        </w:rPr>
        <w:t>”</w:t>
      </w:r>
      <w:r w:rsidR="008E76E2" w:rsidRPr="00DB2795">
        <w:rPr>
          <w:sz w:val="20"/>
          <w:szCs w:val="20"/>
        </w:rPr>
        <w:t xml:space="preserve"> </w:t>
      </w:r>
      <w:r w:rsidR="00332AC0">
        <w:rPr>
          <w:sz w:val="20"/>
          <w:szCs w:val="20"/>
        </w:rPr>
        <w:t>efforts</w:t>
      </w:r>
      <w:r w:rsidR="008E76E2" w:rsidRPr="00DB2795">
        <w:rPr>
          <w:sz w:val="20"/>
          <w:szCs w:val="20"/>
        </w:rPr>
        <w:t>. It will be important to shi</w:t>
      </w:r>
      <w:r w:rsidR="00332AC0">
        <w:rPr>
          <w:sz w:val="20"/>
          <w:szCs w:val="20"/>
        </w:rPr>
        <w:t xml:space="preserve">ft this balance going ahead. </w:t>
      </w:r>
    </w:p>
    <w:p w:rsidR="00CE02F8" w:rsidRPr="00DB2795" w:rsidRDefault="003B5230">
      <w:pPr>
        <w:pStyle w:val="ListParagraph"/>
        <w:numPr>
          <w:ilvl w:val="0"/>
          <w:numId w:val="9"/>
        </w:numPr>
        <w:rPr>
          <w:sz w:val="20"/>
          <w:szCs w:val="20"/>
        </w:rPr>
      </w:pPr>
      <w:r w:rsidRPr="00DB2795">
        <w:rPr>
          <w:b/>
          <w:color w:val="000000" w:themeColor="text1"/>
          <w:sz w:val="20"/>
          <w:szCs w:val="20"/>
        </w:rPr>
        <w:t>Question:</w:t>
      </w:r>
      <w:r w:rsidRPr="00DB2795">
        <w:rPr>
          <w:color w:val="000000" w:themeColor="text1"/>
          <w:sz w:val="20"/>
          <w:szCs w:val="20"/>
        </w:rPr>
        <w:t xml:space="preserve">  </w:t>
      </w:r>
      <w:r w:rsidR="00624754" w:rsidRPr="00DB2795">
        <w:rPr>
          <w:sz w:val="20"/>
          <w:szCs w:val="20"/>
        </w:rPr>
        <w:t>How should the</w:t>
      </w:r>
      <w:r w:rsidRPr="00DB2795">
        <w:rPr>
          <w:sz w:val="20"/>
          <w:szCs w:val="20"/>
        </w:rPr>
        <w:t xml:space="preserve"> expression portfolio </w:t>
      </w:r>
      <w:r w:rsidR="00624754" w:rsidRPr="00DB2795">
        <w:rPr>
          <w:sz w:val="20"/>
          <w:szCs w:val="20"/>
        </w:rPr>
        <w:t xml:space="preserve">best </w:t>
      </w:r>
      <w:r w:rsidR="007B42E7" w:rsidRPr="00DB2795">
        <w:rPr>
          <w:sz w:val="20"/>
          <w:szCs w:val="20"/>
        </w:rPr>
        <w:t xml:space="preserve">retain its </w:t>
      </w:r>
      <w:r w:rsidRPr="00DB2795">
        <w:rPr>
          <w:sz w:val="20"/>
          <w:szCs w:val="20"/>
        </w:rPr>
        <w:t>flexibility</w:t>
      </w:r>
      <w:r w:rsidR="007B42E7" w:rsidRPr="00DB2795">
        <w:rPr>
          <w:sz w:val="20"/>
          <w:szCs w:val="20"/>
        </w:rPr>
        <w:t xml:space="preserve"> (and that of its grantees) </w:t>
      </w:r>
      <w:r w:rsidRPr="00DB2795">
        <w:rPr>
          <w:sz w:val="20"/>
          <w:szCs w:val="20"/>
        </w:rPr>
        <w:t>in responding to key freedom of expression challenges</w:t>
      </w:r>
      <w:r w:rsidR="00332AC0">
        <w:rPr>
          <w:sz w:val="20"/>
          <w:szCs w:val="20"/>
        </w:rPr>
        <w:t>,</w:t>
      </w:r>
      <w:r w:rsidRPr="00DB2795">
        <w:rPr>
          <w:sz w:val="20"/>
          <w:szCs w:val="20"/>
        </w:rPr>
        <w:t xml:space="preserve"> </w:t>
      </w:r>
      <w:r w:rsidR="00CE02F8" w:rsidRPr="00DB2795">
        <w:rPr>
          <w:sz w:val="20"/>
          <w:szCs w:val="20"/>
        </w:rPr>
        <w:t xml:space="preserve">while </w:t>
      </w:r>
      <w:r w:rsidR="00BC3644" w:rsidRPr="00DB2795">
        <w:rPr>
          <w:sz w:val="20"/>
          <w:szCs w:val="20"/>
        </w:rPr>
        <w:t xml:space="preserve">also </w:t>
      </w:r>
      <w:r w:rsidR="00CE02F8" w:rsidRPr="00DB2795">
        <w:rPr>
          <w:sz w:val="20"/>
          <w:szCs w:val="20"/>
        </w:rPr>
        <w:t>being more strategic?</w:t>
      </w:r>
      <w:r w:rsidR="00280F3B" w:rsidRPr="00DB2795">
        <w:rPr>
          <w:sz w:val="20"/>
          <w:szCs w:val="20"/>
        </w:rPr>
        <w:t xml:space="preserve"> </w:t>
      </w:r>
      <w:r w:rsidR="00BC3644" w:rsidRPr="00DB2795">
        <w:rPr>
          <w:sz w:val="20"/>
          <w:szCs w:val="20"/>
        </w:rPr>
        <w:t>Should the portfolio narrow its</w:t>
      </w:r>
      <w:r w:rsidR="00280F3B" w:rsidRPr="00DB2795">
        <w:rPr>
          <w:sz w:val="20"/>
          <w:szCs w:val="20"/>
        </w:rPr>
        <w:t xml:space="preserve"> focus to </w:t>
      </w:r>
      <w:r w:rsidR="00FC3511" w:rsidRPr="00DB2795">
        <w:rPr>
          <w:sz w:val="20"/>
          <w:szCs w:val="20"/>
        </w:rPr>
        <w:t>support projects</w:t>
      </w:r>
      <w:r w:rsidR="00280F3B" w:rsidRPr="00DB2795">
        <w:rPr>
          <w:sz w:val="20"/>
          <w:szCs w:val="20"/>
        </w:rPr>
        <w:t xml:space="preserve"> </w:t>
      </w:r>
      <w:r w:rsidR="00FC3511" w:rsidRPr="00DB2795">
        <w:rPr>
          <w:sz w:val="20"/>
          <w:szCs w:val="20"/>
        </w:rPr>
        <w:t>where there is a direct correlation to improving the</w:t>
      </w:r>
      <w:r w:rsidR="00280F3B" w:rsidRPr="00DB2795">
        <w:rPr>
          <w:sz w:val="20"/>
          <w:szCs w:val="20"/>
        </w:rPr>
        <w:t xml:space="preserve"> </w:t>
      </w:r>
      <w:r w:rsidR="003E0DB7">
        <w:rPr>
          <w:sz w:val="20"/>
          <w:szCs w:val="20"/>
        </w:rPr>
        <w:t xml:space="preserve">enabling </w:t>
      </w:r>
      <w:r w:rsidR="00280F3B" w:rsidRPr="00DB2795">
        <w:rPr>
          <w:sz w:val="20"/>
          <w:szCs w:val="20"/>
        </w:rPr>
        <w:t>environment for independent journalism</w:t>
      </w:r>
      <w:r w:rsidR="00D24840" w:rsidRPr="00DB2795">
        <w:rPr>
          <w:sz w:val="20"/>
          <w:szCs w:val="20"/>
        </w:rPr>
        <w:t>, rather than broader themes such as Internet freedom, etc.</w:t>
      </w:r>
      <w:r w:rsidR="000D4A22" w:rsidRPr="00DB2795">
        <w:rPr>
          <w:sz w:val="20"/>
          <w:szCs w:val="20"/>
        </w:rPr>
        <w:t>?</w:t>
      </w:r>
      <w:r w:rsidR="00FC3511" w:rsidRPr="00DB2795">
        <w:rPr>
          <w:sz w:val="20"/>
          <w:szCs w:val="20"/>
        </w:rPr>
        <w:t xml:space="preserve"> </w:t>
      </w:r>
      <w:r w:rsidR="00280F3B" w:rsidRPr="00DB2795">
        <w:rPr>
          <w:sz w:val="20"/>
          <w:szCs w:val="20"/>
        </w:rPr>
        <w:t xml:space="preserve"> </w:t>
      </w:r>
    </w:p>
    <w:p w:rsidR="00CE02F8" w:rsidRPr="00DB2795" w:rsidRDefault="007B42E7">
      <w:pPr>
        <w:rPr>
          <w:sz w:val="20"/>
          <w:szCs w:val="20"/>
        </w:rPr>
      </w:pPr>
      <w:r w:rsidRPr="00DB2795">
        <w:rPr>
          <w:b/>
          <w:color w:val="000000" w:themeColor="text1"/>
          <w:sz w:val="20"/>
          <w:szCs w:val="20"/>
        </w:rPr>
        <w:t>Observation</w:t>
      </w:r>
      <w:r w:rsidR="00F779B4" w:rsidRPr="00DB2795">
        <w:rPr>
          <w:b/>
          <w:color w:val="000000" w:themeColor="text1"/>
          <w:sz w:val="20"/>
          <w:szCs w:val="20"/>
        </w:rPr>
        <w:t xml:space="preserve"> 2</w:t>
      </w:r>
      <w:r w:rsidRPr="00DB2795">
        <w:rPr>
          <w:b/>
          <w:color w:val="000000" w:themeColor="text1"/>
          <w:sz w:val="20"/>
          <w:szCs w:val="20"/>
        </w:rPr>
        <w:t>:</w:t>
      </w:r>
      <w:r w:rsidRPr="00DB2795">
        <w:rPr>
          <w:color w:val="000000" w:themeColor="text1"/>
          <w:sz w:val="20"/>
          <w:szCs w:val="20"/>
        </w:rPr>
        <w:t xml:space="preserve"> </w:t>
      </w:r>
      <w:r w:rsidR="00B601BE" w:rsidRPr="00DB2795">
        <w:rPr>
          <w:sz w:val="20"/>
          <w:szCs w:val="20"/>
        </w:rPr>
        <w:t>“One-off”</w:t>
      </w:r>
      <w:r w:rsidR="00406B15" w:rsidRPr="00DB2795">
        <w:rPr>
          <w:sz w:val="20"/>
          <w:szCs w:val="20"/>
        </w:rPr>
        <w:t xml:space="preserve"> </w:t>
      </w:r>
      <w:r w:rsidR="003C5ECD" w:rsidRPr="00DB2795">
        <w:rPr>
          <w:sz w:val="20"/>
          <w:szCs w:val="20"/>
        </w:rPr>
        <w:t xml:space="preserve">research projects and conferences, while appearing to meet an immediate </w:t>
      </w:r>
      <w:r w:rsidR="00B601BE" w:rsidRPr="00DB2795">
        <w:rPr>
          <w:sz w:val="20"/>
          <w:szCs w:val="20"/>
        </w:rPr>
        <w:t>need</w:t>
      </w:r>
      <w:r w:rsidR="00BC3644" w:rsidRPr="00DB2795">
        <w:rPr>
          <w:sz w:val="20"/>
          <w:szCs w:val="20"/>
        </w:rPr>
        <w:t>,</w:t>
      </w:r>
      <w:r w:rsidR="00B601BE" w:rsidRPr="00DB2795">
        <w:rPr>
          <w:sz w:val="20"/>
          <w:szCs w:val="20"/>
        </w:rPr>
        <w:t xml:space="preserve"> are not</w:t>
      </w:r>
      <w:r w:rsidR="003423B7" w:rsidRPr="00DB2795">
        <w:rPr>
          <w:sz w:val="20"/>
          <w:szCs w:val="20"/>
        </w:rPr>
        <w:t xml:space="preserve"> </w:t>
      </w:r>
      <w:r w:rsidR="00280F3B" w:rsidRPr="00DB2795">
        <w:rPr>
          <w:sz w:val="20"/>
          <w:szCs w:val="20"/>
        </w:rPr>
        <w:t xml:space="preserve">always </w:t>
      </w:r>
      <w:r w:rsidR="003423B7" w:rsidRPr="00DB2795">
        <w:rPr>
          <w:sz w:val="20"/>
          <w:szCs w:val="20"/>
        </w:rPr>
        <w:t>strategic</w:t>
      </w:r>
      <w:r w:rsidR="00280F3B" w:rsidRPr="00DB2795">
        <w:rPr>
          <w:sz w:val="20"/>
          <w:szCs w:val="20"/>
        </w:rPr>
        <w:t xml:space="preserve"> and require significant investment of staff time</w:t>
      </w:r>
      <w:r w:rsidR="00332AC0">
        <w:rPr>
          <w:sz w:val="20"/>
          <w:szCs w:val="20"/>
        </w:rPr>
        <w:t xml:space="preserve">. </w:t>
      </w:r>
      <w:r w:rsidR="00406B15" w:rsidRPr="00DB2795">
        <w:rPr>
          <w:sz w:val="20"/>
          <w:szCs w:val="20"/>
        </w:rPr>
        <w:t xml:space="preserve">The </w:t>
      </w:r>
      <w:r w:rsidR="005E5961" w:rsidRPr="00DB2795">
        <w:rPr>
          <w:sz w:val="20"/>
          <w:szCs w:val="20"/>
        </w:rPr>
        <w:t xml:space="preserve">portfolio </w:t>
      </w:r>
      <w:r w:rsidR="00406B15" w:rsidRPr="00DB2795">
        <w:rPr>
          <w:sz w:val="20"/>
          <w:szCs w:val="20"/>
        </w:rPr>
        <w:t>will therefor</w:t>
      </w:r>
      <w:r w:rsidR="005E5961" w:rsidRPr="00DB2795">
        <w:rPr>
          <w:sz w:val="20"/>
          <w:szCs w:val="20"/>
        </w:rPr>
        <w:t>e</w:t>
      </w:r>
      <w:r w:rsidR="00406B15" w:rsidRPr="00DB2795">
        <w:rPr>
          <w:sz w:val="20"/>
          <w:szCs w:val="20"/>
        </w:rPr>
        <w:t xml:space="preserve"> consider gran</w:t>
      </w:r>
      <w:r w:rsidR="005E5961" w:rsidRPr="00DB2795">
        <w:rPr>
          <w:sz w:val="20"/>
          <w:szCs w:val="20"/>
        </w:rPr>
        <w:t xml:space="preserve">ts for conferences and events only as part of </w:t>
      </w:r>
      <w:r w:rsidR="00332AC0" w:rsidRPr="00332AC0">
        <w:rPr>
          <w:sz w:val="20"/>
          <w:szCs w:val="20"/>
        </w:rPr>
        <w:t>wider strategic grant-making effort</w:t>
      </w:r>
      <w:r w:rsidR="005E5961" w:rsidRPr="00DB2795">
        <w:rPr>
          <w:sz w:val="20"/>
          <w:szCs w:val="20"/>
        </w:rPr>
        <w:t xml:space="preserve"> and ensure adequate support for</w:t>
      </w:r>
      <w:r w:rsidR="00332AC0">
        <w:rPr>
          <w:sz w:val="20"/>
          <w:szCs w:val="20"/>
        </w:rPr>
        <w:t xml:space="preserve"> the</w:t>
      </w:r>
      <w:r w:rsidR="005E5961" w:rsidRPr="00DB2795">
        <w:rPr>
          <w:sz w:val="20"/>
          <w:szCs w:val="20"/>
        </w:rPr>
        <w:t xml:space="preserve"> implementation of recommendations and follow-up.    </w:t>
      </w:r>
    </w:p>
    <w:p w:rsidR="00CE02F8" w:rsidRPr="00DB2795" w:rsidRDefault="00CE02F8">
      <w:pPr>
        <w:rPr>
          <w:sz w:val="20"/>
          <w:szCs w:val="20"/>
        </w:rPr>
      </w:pPr>
      <w:r w:rsidRPr="00DB2795">
        <w:rPr>
          <w:b/>
          <w:sz w:val="20"/>
          <w:szCs w:val="20"/>
        </w:rPr>
        <w:t>Observation</w:t>
      </w:r>
      <w:r w:rsidR="00F779B4" w:rsidRPr="00DB2795">
        <w:rPr>
          <w:b/>
          <w:sz w:val="20"/>
          <w:szCs w:val="20"/>
        </w:rPr>
        <w:t xml:space="preserve"> 3</w:t>
      </w:r>
      <w:r w:rsidRPr="00DB2795">
        <w:rPr>
          <w:b/>
          <w:sz w:val="20"/>
          <w:szCs w:val="20"/>
        </w:rPr>
        <w:t>:</w:t>
      </w:r>
      <w:r w:rsidRPr="00DB2795">
        <w:rPr>
          <w:sz w:val="20"/>
          <w:szCs w:val="20"/>
        </w:rPr>
        <w:t xml:space="preserve"> While the PIJ has worked closely with the Information Program and OSJI, more synergy between the programs </w:t>
      </w:r>
      <w:r w:rsidR="008E76E2" w:rsidRPr="00DB2795">
        <w:rPr>
          <w:sz w:val="20"/>
          <w:szCs w:val="20"/>
        </w:rPr>
        <w:t xml:space="preserve">on </w:t>
      </w:r>
      <w:r w:rsidRPr="00DB2795">
        <w:rPr>
          <w:sz w:val="20"/>
          <w:szCs w:val="20"/>
        </w:rPr>
        <w:t>building</w:t>
      </w:r>
      <w:r w:rsidR="00F779B4" w:rsidRPr="00DB2795">
        <w:rPr>
          <w:sz w:val="20"/>
          <w:szCs w:val="20"/>
        </w:rPr>
        <w:t xml:space="preserve"> legal defence</w:t>
      </w:r>
      <w:r w:rsidRPr="00DB2795">
        <w:rPr>
          <w:sz w:val="20"/>
          <w:szCs w:val="20"/>
        </w:rPr>
        <w:t xml:space="preserve"> networks</w:t>
      </w:r>
      <w:r w:rsidR="00F779B4" w:rsidRPr="00DB2795">
        <w:rPr>
          <w:sz w:val="20"/>
          <w:szCs w:val="20"/>
        </w:rPr>
        <w:t xml:space="preserve"> </w:t>
      </w:r>
      <w:r w:rsidR="00280F3B" w:rsidRPr="00DB2795">
        <w:rPr>
          <w:sz w:val="20"/>
          <w:szCs w:val="20"/>
        </w:rPr>
        <w:t xml:space="preserve">to defend the media and </w:t>
      </w:r>
      <w:r w:rsidR="00F779B4" w:rsidRPr="00DB2795">
        <w:rPr>
          <w:sz w:val="20"/>
          <w:szCs w:val="20"/>
        </w:rPr>
        <w:t>supporting training for lawyers</w:t>
      </w:r>
      <w:r w:rsidR="00332AC0">
        <w:rPr>
          <w:sz w:val="20"/>
          <w:szCs w:val="20"/>
        </w:rPr>
        <w:t>,</w:t>
      </w:r>
      <w:r w:rsidR="00FC3511" w:rsidRPr="00DB2795">
        <w:rPr>
          <w:sz w:val="20"/>
          <w:szCs w:val="20"/>
        </w:rPr>
        <w:t xml:space="preserve"> particularly on Internet law</w:t>
      </w:r>
      <w:r w:rsidR="00332AC0">
        <w:rPr>
          <w:sz w:val="20"/>
          <w:szCs w:val="20"/>
        </w:rPr>
        <w:t>, could be useful</w:t>
      </w:r>
      <w:r w:rsidR="005E5961" w:rsidRPr="00DB2795">
        <w:rPr>
          <w:sz w:val="20"/>
          <w:szCs w:val="20"/>
        </w:rPr>
        <w:t xml:space="preserve">. </w:t>
      </w:r>
      <w:r w:rsidR="00332AC0">
        <w:rPr>
          <w:sz w:val="20"/>
          <w:szCs w:val="20"/>
        </w:rPr>
        <w:t xml:space="preserve"> One option may be to </w:t>
      </w:r>
      <w:r w:rsidR="005E5961" w:rsidRPr="00DB2795">
        <w:rPr>
          <w:sz w:val="20"/>
          <w:szCs w:val="20"/>
        </w:rPr>
        <w:t>develop a clearer inter-program strategy</w:t>
      </w:r>
      <w:r w:rsidR="00A2683B" w:rsidRPr="00DB2795">
        <w:rPr>
          <w:sz w:val="20"/>
          <w:szCs w:val="20"/>
        </w:rPr>
        <w:t xml:space="preserve"> for </w:t>
      </w:r>
      <w:r w:rsidR="005E5961" w:rsidRPr="00DB2795">
        <w:rPr>
          <w:sz w:val="20"/>
          <w:szCs w:val="20"/>
        </w:rPr>
        <w:t xml:space="preserve">curricula and support </w:t>
      </w:r>
      <w:r w:rsidR="008E76E2" w:rsidRPr="00DB2795">
        <w:rPr>
          <w:sz w:val="20"/>
          <w:szCs w:val="20"/>
        </w:rPr>
        <w:t>for trainings of lawyers</w:t>
      </w:r>
      <w:r w:rsidR="00332AC0">
        <w:rPr>
          <w:sz w:val="20"/>
          <w:szCs w:val="20"/>
        </w:rPr>
        <w:t>, also</w:t>
      </w:r>
      <w:r w:rsidR="008E76E2" w:rsidRPr="00DB2795">
        <w:rPr>
          <w:sz w:val="20"/>
          <w:szCs w:val="20"/>
        </w:rPr>
        <w:t xml:space="preserve"> </w:t>
      </w:r>
      <w:r w:rsidR="00042F0D">
        <w:rPr>
          <w:sz w:val="20"/>
          <w:szCs w:val="20"/>
        </w:rPr>
        <w:t>in conjunction with PIJ grantees, such as MLDI.</w:t>
      </w:r>
      <w:r w:rsidR="005E5961" w:rsidRPr="00DB2795">
        <w:rPr>
          <w:sz w:val="20"/>
          <w:szCs w:val="20"/>
        </w:rPr>
        <w:t xml:space="preserve"> </w:t>
      </w:r>
      <w:r w:rsidR="008E76E2" w:rsidRPr="00DB2795">
        <w:rPr>
          <w:sz w:val="20"/>
          <w:szCs w:val="20"/>
        </w:rPr>
        <w:t xml:space="preserve"> </w:t>
      </w:r>
    </w:p>
    <w:p w:rsidR="00FC3511" w:rsidRPr="00DB2795" w:rsidRDefault="005E57C3">
      <w:pPr>
        <w:pStyle w:val="ListParagraph"/>
        <w:numPr>
          <w:ilvl w:val="0"/>
          <w:numId w:val="8"/>
        </w:numPr>
        <w:rPr>
          <w:sz w:val="20"/>
          <w:szCs w:val="20"/>
        </w:rPr>
      </w:pPr>
      <w:r w:rsidRPr="00DB2795">
        <w:rPr>
          <w:b/>
          <w:sz w:val="20"/>
          <w:szCs w:val="20"/>
        </w:rPr>
        <w:t>Question:</w:t>
      </w:r>
      <w:r w:rsidRPr="00DB2795">
        <w:rPr>
          <w:sz w:val="20"/>
          <w:szCs w:val="20"/>
        </w:rPr>
        <w:t xml:space="preserve"> How operational should the PIJ be in supporting the development of legal networks with other OSF Programs</w:t>
      </w:r>
      <w:r w:rsidR="00280F3B" w:rsidRPr="00DB2795">
        <w:rPr>
          <w:sz w:val="20"/>
          <w:szCs w:val="20"/>
        </w:rPr>
        <w:t>, especially given limitations on staff time?</w:t>
      </w:r>
      <w:r w:rsidR="000D4A22" w:rsidRPr="00DB2795">
        <w:rPr>
          <w:sz w:val="20"/>
          <w:szCs w:val="20"/>
        </w:rPr>
        <w:t xml:space="preserve"> </w:t>
      </w:r>
    </w:p>
    <w:p w:rsidR="00D168EC" w:rsidRDefault="001D5FC6" w:rsidP="00D168EC">
      <w:pPr>
        <w:rPr>
          <w:sz w:val="20"/>
          <w:szCs w:val="20"/>
        </w:rPr>
      </w:pPr>
      <w:r w:rsidRPr="00DB2795">
        <w:rPr>
          <w:b/>
          <w:sz w:val="20"/>
          <w:szCs w:val="20"/>
        </w:rPr>
        <w:t>Observation</w:t>
      </w:r>
      <w:r w:rsidR="00525344" w:rsidRPr="00DB2795">
        <w:rPr>
          <w:b/>
          <w:sz w:val="20"/>
          <w:szCs w:val="20"/>
        </w:rPr>
        <w:t xml:space="preserve"> 4</w:t>
      </w:r>
      <w:r w:rsidRPr="00DB2795">
        <w:rPr>
          <w:b/>
          <w:sz w:val="20"/>
          <w:szCs w:val="20"/>
        </w:rPr>
        <w:t>:</w:t>
      </w:r>
      <w:r w:rsidRPr="00DB2795">
        <w:rPr>
          <w:sz w:val="20"/>
          <w:szCs w:val="20"/>
        </w:rPr>
        <w:t xml:space="preserve"> </w:t>
      </w:r>
      <w:r w:rsidR="00F779B4" w:rsidRPr="00DB2795">
        <w:rPr>
          <w:sz w:val="20"/>
          <w:szCs w:val="20"/>
        </w:rPr>
        <w:t>D</w:t>
      </w:r>
      <w:r w:rsidR="00D24840" w:rsidRPr="00DB2795">
        <w:rPr>
          <w:sz w:val="20"/>
          <w:szCs w:val="20"/>
        </w:rPr>
        <w:t xml:space="preserve">eveloping better indicators for </w:t>
      </w:r>
      <w:r w:rsidR="00F779B4" w:rsidRPr="00DB2795">
        <w:rPr>
          <w:sz w:val="20"/>
          <w:szCs w:val="20"/>
        </w:rPr>
        <w:t>measuring project goals</w:t>
      </w:r>
      <w:r w:rsidR="005E7396" w:rsidRPr="00DB2795">
        <w:rPr>
          <w:sz w:val="20"/>
          <w:szCs w:val="20"/>
        </w:rPr>
        <w:t xml:space="preserve">, in particular </w:t>
      </w:r>
      <w:r w:rsidR="00E53BCD" w:rsidRPr="00DB2795">
        <w:rPr>
          <w:sz w:val="20"/>
          <w:szCs w:val="20"/>
        </w:rPr>
        <w:t xml:space="preserve">where various </w:t>
      </w:r>
      <w:r w:rsidR="005E7396" w:rsidRPr="00DB2795">
        <w:rPr>
          <w:sz w:val="20"/>
          <w:szCs w:val="20"/>
        </w:rPr>
        <w:t>grantees</w:t>
      </w:r>
      <w:r w:rsidR="00E53BCD" w:rsidRPr="00DB2795">
        <w:rPr>
          <w:sz w:val="20"/>
          <w:szCs w:val="20"/>
        </w:rPr>
        <w:t xml:space="preserve"> may be</w:t>
      </w:r>
      <w:r w:rsidR="005E7396" w:rsidRPr="00DB2795">
        <w:rPr>
          <w:sz w:val="20"/>
          <w:szCs w:val="20"/>
        </w:rPr>
        <w:t xml:space="preserve"> </w:t>
      </w:r>
      <w:r w:rsidR="00E53BCD" w:rsidRPr="00DB2795">
        <w:rPr>
          <w:sz w:val="20"/>
          <w:szCs w:val="20"/>
        </w:rPr>
        <w:t>contributing to work in a particular field</w:t>
      </w:r>
      <w:r w:rsidR="008E76E2" w:rsidRPr="00DB2795">
        <w:rPr>
          <w:sz w:val="20"/>
          <w:szCs w:val="20"/>
        </w:rPr>
        <w:t xml:space="preserve">, is important. </w:t>
      </w:r>
      <w:r w:rsidR="005E5961" w:rsidRPr="00DB2795">
        <w:rPr>
          <w:sz w:val="20"/>
          <w:szCs w:val="20"/>
        </w:rPr>
        <w:t>Understanding individual grantees’ place in the field requires substantial time not only for understanding “the field” but also for ensuring that grantees cooperate and do not duplicate efforts, where possible. Networking of grantees within specific fields is important but often difficult to measure and assess.</w:t>
      </w:r>
      <w:r w:rsidR="00042F0D">
        <w:rPr>
          <w:sz w:val="20"/>
          <w:szCs w:val="20"/>
        </w:rPr>
        <w:t xml:space="preserve"> </w:t>
      </w:r>
    </w:p>
    <w:p w:rsidR="0085791C" w:rsidRPr="00DB2795" w:rsidRDefault="00F80AE7" w:rsidP="00D168EC">
      <w:pPr>
        <w:rPr>
          <w:sz w:val="20"/>
          <w:szCs w:val="20"/>
        </w:rPr>
      </w:pPr>
      <w:r w:rsidRPr="00DB2795">
        <w:rPr>
          <w:b/>
          <w:sz w:val="20"/>
          <w:szCs w:val="20"/>
        </w:rPr>
        <w:t>Question:</w:t>
      </w:r>
      <w:r w:rsidRPr="00DB2795">
        <w:rPr>
          <w:sz w:val="20"/>
          <w:szCs w:val="20"/>
        </w:rPr>
        <w:t xml:space="preserve"> How much emphasis should the Program place on assisting grantees in collaborating</w:t>
      </w:r>
      <w:r w:rsidR="00042F0D">
        <w:rPr>
          <w:sz w:val="20"/>
          <w:szCs w:val="20"/>
        </w:rPr>
        <w:t xml:space="preserve"> and convening</w:t>
      </w:r>
      <w:r w:rsidRPr="00DB2795">
        <w:rPr>
          <w:sz w:val="20"/>
          <w:szCs w:val="20"/>
        </w:rPr>
        <w:t xml:space="preserve">? Are there </w:t>
      </w:r>
      <w:r w:rsidR="00CE02F8" w:rsidRPr="00DB2795">
        <w:rPr>
          <w:sz w:val="20"/>
          <w:szCs w:val="20"/>
        </w:rPr>
        <w:t>ways</w:t>
      </w:r>
      <w:r w:rsidRPr="00DB2795">
        <w:rPr>
          <w:sz w:val="20"/>
          <w:szCs w:val="20"/>
        </w:rPr>
        <w:t xml:space="preserve"> </w:t>
      </w:r>
      <w:r w:rsidR="00CE02F8" w:rsidRPr="00DB2795">
        <w:rPr>
          <w:sz w:val="20"/>
          <w:szCs w:val="20"/>
        </w:rPr>
        <w:t xml:space="preserve">to </w:t>
      </w:r>
      <w:r w:rsidRPr="00DB2795">
        <w:rPr>
          <w:sz w:val="20"/>
          <w:szCs w:val="20"/>
        </w:rPr>
        <w:t xml:space="preserve">evaluate </w:t>
      </w:r>
      <w:r w:rsidR="00C937A7" w:rsidRPr="00DB2795">
        <w:rPr>
          <w:sz w:val="20"/>
          <w:szCs w:val="20"/>
        </w:rPr>
        <w:t xml:space="preserve">more effectively </w:t>
      </w:r>
      <w:r w:rsidRPr="00DB2795">
        <w:rPr>
          <w:sz w:val="20"/>
          <w:szCs w:val="20"/>
        </w:rPr>
        <w:t xml:space="preserve">the “networking” effect </w:t>
      </w:r>
      <w:r w:rsidR="00CE02F8" w:rsidRPr="00DB2795">
        <w:rPr>
          <w:sz w:val="20"/>
          <w:szCs w:val="20"/>
        </w:rPr>
        <w:t>and the staff’s role in assisting with such efforts?</w:t>
      </w:r>
      <w:r w:rsidR="003C5ECD" w:rsidRPr="00DB2795">
        <w:rPr>
          <w:sz w:val="20"/>
          <w:szCs w:val="20"/>
        </w:rPr>
        <w:t xml:space="preserve"> </w:t>
      </w:r>
    </w:p>
    <w:sectPr w:rsidR="0085791C" w:rsidRPr="00DB279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621" w:rsidRDefault="009E3621" w:rsidP="0015010E">
      <w:pPr>
        <w:spacing w:after="0" w:line="240" w:lineRule="auto"/>
      </w:pPr>
      <w:r>
        <w:separator/>
      </w:r>
    </w:p>
  </w:endnote>
  <w:endnote w:type="continuationSeparator" w:id="0">
    <w:p w:rsidR="009E3621" w:rsidRDefault="009E3621" w:rsidP="00150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710419"/>
      <w:docPartObj>
        <w:docPartGallery w:val="Page Numbers (Bottom of Page)"/>
        <w:docPartUnique/>
      </w:docPartObj>
    </w:sdtPr>
    <w:sdtEndPr>
      <w:rPr>
        <w:noProof/>
      </w:rPr>
    </w:sdtEndPr>
    <w:sdtContent>
      <w:p w:rsidR="0056239F" w:rsidRDefault="0056239F">
        <w:pPr>
          <w:pStyle w:val="Footer"/>
          <w:jc w:val="right"/>
        </w:pPr>
        <w:r>
          <w:fldChar w:fldCharType="begin"/>
        </w:r>
        <w:r>
          <w:instrText xml:space="preserve"> PAGE   \* MERGEFORMAT </w:instrText>
        </w:r>
        <w:r>
          <w:fldChar w:fldCharType="separate"/>
        </w:r>
        <w:r w:rsidR="00EC3971">
          <w:rPr>
            <w:noProof/>
          </w:rPr>
          <w:t>1</w:t>
        </w:r>
        <w:r>
          <w:rPr>
            <w:noProof/>
          </w:rPr>
          <w:fldChar w:fldCharType="end"/>
        </w:r>
      </w:p>
    </w:sdtContent>
  </w:sdt>
  <w:p w:rsidR="00021656" w:rsidRDefault="000216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621" w:rsidRDefault="009E3621" w:rsidP="0015010E">
      <w:pPr>
        <w:spacing w:after="0" w:line="240" w:lineRule="auto"/>
      </w:pPr>
      <w:r>
        <w:separator/>
      </w:r>
    </w:p>
  </w:footnote>
  <w:footnote w:type="continuationSeparator" w:id="0">
    <w:p w:rsidR="009E3621" w:rsidRDefault="009E3621" w:rsidP="0015010E">
      <w:pPr>
        <w:spacing w:after="0" w:line="240" w:lineRule="auto"/>
      </w:pPr>
      <w:r>
        <w:continuationSeparator/>
      </w:r>
    </w:p>
  </w:footnote>
  <w:footnote w:id="1">
    <w:p w:rsidR="00021656" w:rsidRDefault="00021656">
      <w:pPr>
        <w:pStyle w:val="FootnoteText"/>
      </w:pPr>
      <w:r>
        <w:rPr>
          <w:rStyle w:val="FootnoteReference"/>
        </w:rPr>
        <w:footnoteRef/>
      </w:r>
      <w:r>
        <w:t xml:space="preserve"> This includes funding of $2,500,000 towards the Media Legal Defence Initiative, contributed from other parts of the PIJ budget and Presidential grants, as managed entirely by the PIJ, just to show the entire scope of financial support.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10173"/>
    <w:multiLevelType w:val="hybridMultilevel"/>
    <w:tmpl w:val="DD2A1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4406D2"/>
    <w:multiLevelType w:val="hybridMultilevel"/>
    <w:tmpl w:val="BC14FB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8E2022"/>
    <w:multiLevelType w:val="hybridMultilevel"/>
    <w:tmpl w:val="CEA8B26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A45163"/>
    <w:multiLevelType w:val="hybridMultilevel"/>
    <w:tmpl w:val="49686BE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4197D86"/>
    <w:multiLevelType w:val="hybridMultilevel"/>
    <w:tmpl w:val="E098CBA2"/>
    <w:lvl w:ilvl="0" w:tplc="6EB453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B133CF3"/>
    <w:multiLevelType w:val="hybridMultilevel"/>
    <w:tmpl w:val="ED104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FC723B2"/>
    <w:multiLevelType w:val="hybridMultilevel"/>
    <w:tmpl w:val="365018E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8C34B8B"/>
    <w:multiLevelType w:val="hybridMultilevel"/>
    <w:tmpl w:val="0C0A1D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DC5490"/>
    <w:multiLevelType w:val="hybridMultilevel"/>
    <w:tmpl w:val="8730C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C024F52"/>
    <w:multiLevelType w:val="hybridMultilevel"/>
    <w:tmpl w:val="42CA95D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DE37447"/>
    <w:multiLevelType w:val="hybridMultilevel"/>
    <w:tmpl w:val="3A02D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27B2287"/>
    <w:multiLevelType w:val="hybridMultilevel"/>
    <w:tmpl w:val="689CAB42"/>
    <w:lvl w:ilvl="0" w:tplc="0809000B">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5C7264F"/>
    <w:multiLevelType w:val="hybridMultilevel"/>
    <w:tmpl w:val="53FECA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76D616A"/>
    <w:multiLevelType w:val="hybridMultilevel"/>
    <w:tmpl w:val="D242CD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B140B6F"/>
    <w:multiLevelType w:val="hybridMultilevel"/>
    <w:tmpl w:val="841E0F36"/>
    <w:lvl w:ilvl="0" w:tplc="AA5CF71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E1D074B"/>
    <w:multiLevelType w:val="hybridMultilevel"/>
    <w:tmpl w:val="B128D1E0"/>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0407C0C"/>
    <w:multiLevelType w:val="hybridMultilevel"/>
    <w:tmpl w:val="64E87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6292707"/>
    <w:multiLevelType w:val="hybridMultilevel"/>
    <w:tmpl w:val="51106422"/>
    <w:lvl w:ilvl="0" w:tplc="46383B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DB827D2"/>
    <w:multiLevelType w:val="hybridMultilevel"/>
    <w:tmpl w:val="142AD5F2"/>
    <w:lvl w:ilvl="0" w:tplc="D65E5EA4">
      <w:start w:val="1"/>
      <w:numFmt w:val="decimal"/>
      <w:lvlText w:val="%1)"/>
      <w:lvlJc w:val="left"/>
      <w:pPr>
        <w:ind w:left="720" w:hanging="360"/>
      </w:pPr>
      <w:rPr>
        <w:rFonts w:eastAsia="Calibri"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8539AE"/>
    <w:multiLevelType w:val="hybridMultilevel"/>
    <w:tmpl w:val="064C02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AB850F7"/>
    <w:multiLevelType w:val="hybridMultilevel"/>
    <w:tmpl w:val="36CC7F7A"/>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2C30592"/>
    <w:multiLevelType w:val="hybridMultilevel"/>
    <w:tmpl w:val="FF167F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9"/>
  </w:num>
  <w:num w:numId="3">
    <w:abstractNumId w:val="21"/>
  </w:num>
  <w:num w:numId="4">
    <w:abstractNumId w:val="2"/>
  </w:num>
  <w:num w:numId="5">
    <w:abstractNumId w:val="10"/>
  </w:num>
  <w:num w:numId="6">
    <w:abstractNumId w:val="5"/>
  </w:num>
  <w:num w:numId="7">
    <w:abstractNumId w:val="8"/>
  </w:num>
  <w:num w:numId="8">
    <w:abstractNumId w:val="16"/>
  </w:num>
  <w:num w:numId="9">
    <w:abstractNumId w:val="0"/>
  </w:num>
  <w:num w:numId="10">
    <w:abstractNumId w:val="19"/>
  </w:num>
  <w:num w:numId="11">
    <w:abstractNumId w:val="9"/>
  </w:num>
  <w:num w:numId="12">
    <w:abstractNumId w:val="1"/>
  </w:num>
  <w:num w:numId="13">
    <w:abstractNumId w:val="4"/>
  </w:num>
  <w:num w:numId="14">
    <w:abstractNumId w:val="11"/>
  </w:num>
  <w:num w:numId="15">
    <w:abstractNumId w:val="13"/>
  </w:num>
  <w:num w:numId="16">
    <w:abstractNumId w:val="6"/>
  </w:num>
  <w:num w:numId="17">
    <w:abstractNumId w:val="17"/>
  </w:num>
  <w:num w:numId="18">
    <w:abstractNumId w:val="3"/>
  </w:num>
  <w:num w:numId="19">
    <w:abstractNumId w:val="20"/>
  </w:num>
  <w:num w:numId="20">
    <w:abstractNumId w:val="15"/>
  </w:num>
  <w:num w:numId="21">
    <w:abstractNumId w:val="7"/>
  </w:num>
  <w:num w:numId="22">
    <w:abstractNumId w:val="14"/>
  </w:num>
  <w:num w:numId="23">
    <w:abstractNumId w:val="1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AC0"/>
    <w:rsid w:val="000024C2"/>
    <w:rsid w:val="00006014"/>
    <w:rsid w:val="00007506"/>
    <w:rsid w:val="00015D6A"/>
    <w:rsid w:val="00016EFC"/>
    <w:rsid w:val="00021656"/>
    <w:rsid w:val="00026A06"/>
    <w:rsid w:val="00026D6A"/>
    <w:rsid w:val="000270DE"/>
    <w:rsid w:val="000371AA"/>
    <w:rsid w:val="00040F5F"/>
    <w:rsid w:val="0004180A"/>
    <w:rsid w:val="00042BAD"/>
    <w:rsid w:val="00042BB5"/>
    <w:rsid w:val="00042F0D"/>
    <w:rsid w:val="00043141"/>
    <w:rsid w:val="00044133"/>
    <w:rsid w:val="0004647E"/>
    <w:rsid w:val="000521C0"/>
    <w:rsid w:val="00056F31"/>
    <w:rsid w:val="00060F3E"/>
    <w:rsid w:val="00064314"/>
    <w:rsid w:val="00070407"/>
    <w:rsid w:val="000743F3"/>
    <w:rsid w:val="000811E5"/>
    <w:rsid w:val="000833BB"/>
    <w:rsid w:val="00084D6D"/>
    <w:rsid w:val="0008601D"/>
    <w:rsid w:val="00087CCB"/>
    <w:rsid w:val="000912C3"/>
    <w:rsid w:val="000958B6"/>
    <w:rsid w:val="000967DA"/>
    <w:rsid w:val="000A0025"/>
    <w:rsid w:val="000A2760"/>
    <w:rsid w:val="000A3B8E"/>
    <w:rsid w:val="000A7B71"/>
    <w:rsid w:val="000A7CE4"/>
    <w:rsid w:val="000B4195"/>
    <w:rsid w:val="000C362D"/>
    <w:rsid w:val="000D3E2B"/>
    <w:rsid w:val="000D4A22"/>
    <w:rsid w:val="000D5F03"/>
    <w:rsid w:val="000E05F3"/>
    <w:rsid w:val="000E24E9"/>
    <w:rsid w:val="000F196A"/>
    <w:rsid w:val="000F33C9"/>
    <w:rsid w:val="000F7045"/>
    <w:rsid w:val="000F7820"/>
    <w:rsid w:val="000F7CD6"/>
    <w:rsid w:val="00102727"/>
    <w:rsid w:val="001045E0"/>
    <w:rsid w:val="00117DBB"/>
    <w:rsid w:val="001408CC"/>
    <w:rsid w:val="00140BD7"/>
    <w:rsid w:val="001432BA"/>
    <w:rsid w:val="00146CBA"/>
    <w:rsid w:val="0015010E"/>
    <w:rsid w:val="001532B8"/>
    <w:rsid w:val="0015592A"/>
    <w:rsid w:val="00155DFE"/>
    <w:rsid w:val="00160E7B"/>
    <w:rsid w:val="00161545"/>
    <w:rsid w:val="00161BC2"/>
    <w:rsid w:val="001663DE"/>
    <w:rsid w:val="00175E1D"/>
    <w:rsid w:val="00181573"/>
    <w:rsid w:val="00182085"/>
    <w:rsid w:val="00184E88"/>
    <w:rsid w:val="00185E77"/>
    <w:rsid w:val="00187DDD"/>
    <w:rsid w:val="0019051F"/>
    <w:rsid w:val="001934A0"/>
    <w:rsid w:val="0019408B"/>
    <w:rsid w:val="001941E6"/>
    <w:rsid w:val="001A5552"/>
    <w:rsid w:val="001A6256"/>
    <w:rsid w:val="001A62FA"/>
    <w:rsid w:val="001B4145"/>
    <w:rsid w:val="001C0CDF"/>
    <w:rsid w:val="001C1DEB"/>
    <w:rsid w:val="001D23F8"/>
    <w:rsid w:val="001D2A9F"/>
    <w:rsid w:val="001D5FC6"/>
    <w:rsid w:val="001D7016"/>
    <w:rsid w:val="001D715D"/>
    <w:rsid w:val="001D7775"/>
    <w:rsid w:val="001E1DC4"/>
    <w:rsid w:val="001E34BC"/>
    <w:rsid w:val="001E45A5"/>
    <w:rsid w:val="001E7989"/>
    <w:rsid w:val="001F12F5"/>
    <w:rsid w:val="001F6E95"/>
    <w:rsid w:val="001F7C26"/>
    <w:rsid w:val="001F7E79"/>
    <w:rsid w:val="00203421"/>
    <w:rsid w:val="0021591E"/>
    <w:rsid w:val="00217320"/>
    <w:rsid w:val="00225037"/>
    <w:rsid w:val="002271CE"/>
    <w:rsid w:val="0023236D"/>
    <w:rsid w:val="00232CC1"/>
    <w:rsid w:val="00236159"/>
    <w:rsid w:val="00240D8A"/>
    <w:rsid w:val="00245BD4"/>
    <w:rsid w:val="00251FDD"/>
    <w:rsid w:val="00260F28"/>
    <w:rsid w:val="00264D0E"/>
    <w:rsid w:val="00272110"/>
    <w:rsid w:val="00275714"/>
    <w:rsid w:val="00280F3B"/>
    <w:rsid w:val="0028502B"/>
    <w:rsid w:val="002878EE"/>
    <w:rsid w:val="00291F4D"/>
    <w:rsid w:val="002937AA"/>
    <w:rsid w:val="00293DE9"/>
    <w:rsid w:val="00293E7E"/>
    <w:rsid w:val="0029514B"/>
    <w:rsid w:val="002A0174"/>
    <w:rsid w:val="002A1AEF"/>
    <w:rsid w:val="002A1C1A"/>
    <w:rsid w:val="002A28B7"/>
    <w:rsid w:val="002B7E0B"/>
    <w:rsid w:val="002C3EF9"/>
    <w:rsid w:val="002C66DD"/>
    <w:rsid w:val="002C75E0"/>
    <w:rsid w:val="002E0BBB"/>
    <w:rsid w:val="002E297A"/>
    <w:rsid w:val="002F42B2"/>
    <w:rsid w:val="003066DB"/>
    <w:rsid w:val="003118D1"/>
    <w:rsid w:val="00315099"/>
    <w:rsid w:val="00315500"/>
    <w:rsid w:val="00315EA7"/>
    <w:rsid w:val="003227C1"/>
    <w:rsid w:val="00324052"/>
    <w:rsid w:val="00324FCC"/>
    <w:rsid w:val="00326E17"/>
    <w:rsid w:val="00331A23"/>
    <w:rsid w:val="00331A2C"/>
    <w:rsid w:val="00332AC0"/>
    <w:rsid w:val="00337FC8"/>
    <w:rsid w:val="003405F4"/>
    <w:rsid w:val="00340B5D"/>
    <w:rsid w:val="003423B7"/>
    <w:rsid w:val="003442DF"/>
    <w:rsid w:val="00345101"/>
    <w:rsid w:val="00347E2B"/>
    <w:rsid w:val="00351D34"/>
    <w:rsid w:val="00352CD2"/>
    <w:rsid w:val="00353CE5"/>
    <w:rsid w:val="00354C6D"/>
    <w:rsid w:val="00355145"/>
    <w:rsid w:val="003576AE"/>
    <w:rsid w:val="00357DD5"/>
    <w:rsid w:val="00364798"/>
    <w:rsid w:val="00371616"/>
    <w:rsid w:val="00383476"/>
    <w:rsid w:val="00391DBB"/>
    <w:rsid w:val="003952BC"/>
    <w:rsid w:val="003965D0"/>
    <w:rsid w:val="003A07BC"/>
    <w:rsid w:val="003A1877"/>
    <w:rsid w:val="003A4DF6"/>
    <w:rsid w:val="003A62E7"/>
    <w:rsid w:val="003B4FF5"/>
    <w:rsid w:val="003B5230"/>
    <w:rsid w:val="003B6907"/>
    <w:rsid w:val="003C4453"/>
    <w:rsid w:val="003C5ECD"/>
    <w:rsid w:val="003E0A29"/>
    <w:rsid w:val="003E0A6C"/>
    <w:rsid w:val="003E0DB7"/>
    <w:rsid w:val="003E2BBD"/>
    <w:rsid w:val="003E59A8"/>
    <w:rsid w:val="003F1653"/>
    <w:rsid w:val="003F480E"/>
    <w:rsid w:val="003F7389"/>
    <w:rsid w:val="0040285B"/>
    <w:rsid w:val="004034FF"/>
    <w:rsid w:val="00406B15"/>
    <w:rsid w:val="00413DD0"/>
    <w:rsid w:val="00414099"/>
    <w:rsid w:val="004233CB"/>
    <w:rsid w:val="004245CE"/>
    <w:rsid w:val="00425DF6"/>
    <w:rsid w:val="00426CA9"/>
    <w:rsid w:val="00437AC0"/>
    <w:rsid w:val="004436C4"/>
    <w:rsid w:val="00445809"/>
    <w:rsid w:val="00447A62"/>
    <w:rsid w:val="00453F78"/>
    <w:rsid w:val="00457219"/>
    <w:rsid w:val="00463BA2"/>
    <w:rsid w:val="004643CE"/>
    <w:rsid w:val="00472893"/>
    <w:rsid w:val="00473ED0"/>
    <w:rsid w:val="00476C88"/>
    <w:rsid w:val="0048258F"/>
    <w:rsid w:val="004830A8"/>
    <w:rsid w:val="00485AE1"/>
    <w:rsid w:val="00486286"/>
    <w:rsid w:val="0049380C"/>
    <w:rsid w:val="00496EDA"/>
    <w:rsid w:val="004A334A"/>
    <w:rsid w:val="004B10BC"/>
    <w:rsid w:val="004B1EDF"/>
    <w:rsid w:val="004B3677"/>
    <w:rsid w:val="004C1BBE"/>
    <w:rsid w:val="004C2832"/>
    <w:rsid w:val="004C31CC"/>
    <w:rsid w:val="004C6EB5"/>
    <w:rsid w:val="004E20EB"/>
    <w:rsid w:val="004E2CF1"/>
    <w:rsid w:val="004F2AD2"/>
    <w:rsid w:val="004F579F"/>
    <w:rsid w:val="004F73E6"/>
    <w:rsid w:val="004F780F"/>
    <w:rsid w:val="00500D0F"/>
    <w:rsid w:val="00502A8B"/>
    <w:rsid w:val="00510138"/>
    <w:rsid w:val="00512F0C"/>
    <w:rsid w:val="00525344"/>
    <w:rsid w:val="00527408"/>
    <w:rsid w:val="00532AD5"/>
    <w:rsid w:val="00533743"/>
    <w:rsid w:val="00533F59"/>
    <w:rsid w:val="005351C6"/>
    <w:rsid w:val="00536246"/>
    <w:rsid w:val="00542264"/>
    <w:rsid w:val="00545B4E"/>
    <w:rsid w:val="005501E9"/>
    <w:rsid w:val="0055233C"/>
    <w:rsid w:val="00552AC0"/>
    <w:rsid w:val="00554571"/>
    <w:rsid w:val="0055582E"/>
    <w:rsid w:val="005566C3"/>
    <w:rsid w:val="00560CDA"/>
    <w:rsid w:val="00561EC5"/>
    <w:rsid w:val="0056239F"/>
    <w:rsid w:val="00562DCD"/>
    <w:rsid w:val="00565BD8"/>
    <w:rsid w:val="00572AA4"/>
    <w:rsid w:val="00572FDB"/>
    <w:rsid w:val="00573F3F"/>
    <w:rsid w:val="00576C4C"/>
    <w:rsid w:val="0057737C"/>
    <w:rsid w:val="00581010"/>
    <w:rsid w:val="005850D9"/>
    <w:rsid w:val="005943A7"/>
    <w:rsid w:val="005A3DA2"/>
    <w:rsid w:val="005A79A3"/>
    <w:rsid w:val="005B16B5"/>
    <w:rsid w:val="005B67FF"/>
    <w:rsid w:val="005C39D3"/>
    <w:rsid w:val="005C3CB2"/>
    <w:rsid w:val="005C4858"/>
    <w:rsid w:val="005C7D6A"/>
    <w:rsid w:val="005D37BE"/>
    <w:rsid w:val="005E3F0A"/>
    <w:rsid w:val="005E5792"/>
    <w:rsid w:val="005E57C3"/>
    <w:rsid w:val="005E5961"/>
    <w:rsid w:val="005E7396"/>
    <w:rsid w:val="005F1897"/>
    <w:rsid w:val="005F21AA"/>
    <w:rsid w:val="005F28D1"/>
    <w:rsid w:val="005F3981"/>
    <w:rsid w:val="005F4307"/>
    <w:rsid w:val="006011FA"/>
    <w:rsid w:val="0060620C"/>
    <w:rsid w:val="00622DAF"/>
    <w:rsid w:val="00624754"/>
    <w:rsid w:val="00625753"/>
    <w:rsid w:val="006263F4"/>
    <w:rsid w:val="00633A56"/>
    <w:rsid w:val="006427A6"/>
    <w:rsid w:val="006467DF"/>
    <w:rsid w:val="00650D9E"/>
    <w:rsid w:val="006511C4"/>
    <w:rsid w:val="00651819"/>
    <w:rsid w:val="00653122"/>
    <w:rsid w:val="00654685"/>
    <w:rsid w:val="006556D2"/>
    <w:rsid w:val="00662D61"/>
    <w:rsid w:val="00663340"/>
    <w:rsid w:val="00671282"/>
    <w:rsid w:val="00676C06"/>
    <w:rsid w:val="00693926"/>
    <w:rsid w:val="00693BAE"/>
    <w:rsid w:val="00693DA9"/>
    <w:rsid w:val="006A0640"/>
    <w:rsid w:val="006A161F"/>
    <w:rsid w:val="006A630D"/>
    <w:rsid w:val="006B5509"/>
    <w:rsid w:val="006B5994"/>
    <w:rsid w:val="006C115A"/>
    <w:rsid w:val="006C4752"/>
    <w:rsid w:val="006C538C"/>
    <w:rsid w:val="006C5639"/>
    <w:rsid w:val="006C672E"/>
    <w:rsid w:val="006C7921"/>
    <w:rsid w:val="006D363E"/>
    <w:rsid w:val="006E1F44"/>
    <w:rsid w:val="006E3366"/>
    <w:rsid w:val="006F0746"/>
    <w:rsid w:val="006F0EF3"/>
    <w:rsid w:val="006F305B"/>
    <w:rsid w:val="00703F87"/>
    <w:rsid w:val="0071435E"/>
    <w:rsid w:val="00720E16"/>
    <w:rsid w:val="007225C9"/>
    <w:rsid w:val="0072461E"/>
    <w:rsid w:val="00725D6B"/>
    <w:rsid w:val="007267DD"/>
    <w:rsid w:val="00734FB7"/>
    <w:rsid w:val="00735970"/>
    <w:rsid w:val="00741019"/>
    <w:rsid w:val="00741E27"/>
    <w:rsid w:val="0074326A"/>
    <w:rsid w:val="007516AE"/>
    <w:rsid w:val="00762995"/>
    <w:rsid w:val="007649DC"/>
    <w:rsid w:val="0076626C"/>
    <w:rsid w:val="00767344"/>
    <w:rsid w:val="00774EE9"/>
    <w:rsid w:val="00774FFB"/>
    <w:rsid w:val="00782812"/>
    <w:rsid w:val="00785F50"/>
    <w:rsid w:val="00793A5B"/>
    <w:rsid w:val="007941FC"/>
    <w:rsid w:val="007A323D"/>
    <w:rsid w:val="007A64E4"/>
    <w:rsid w:val="007B42E7"/>
    <w:rsid w:val="007B4AF9"/>
    <w:rsid w:val="007C097A"/>
    <w:rsid w:val="007C32EF"/>
    <w:rsid w:val="007C6084"/>
    <w:rsid w:val="007C71B3"/>
    <w:rsid w:val="007E1DB3"/>
    <w:rsid w:val="007E21D8"/>
    <w:rsid w:val="007E4E9A"/>
    <w:rsid w:val="007F268A"/>
    <w:rsid w:val="007F3F84"/>
    <w:rsid w:val="007F796B"/>
    <w:rsid w:val="00804FFD"/>
    <w:rsid w:val="00806883"/>
    <w:rsid w:val="0081789F"/>
    <w:rsid w:val="00817FAB"/>
    <w:rsid w:val="00824A51"/>
    <w:rsid w:val="008323D2"/>
    <w:rsid w:val="0083303D"/>
    <w:rsid w:val="00834687"/>
    <w:rsid w:val="00844960"/>
    <w:rsid w:val="00845265"/>
    <w:rsid w:val="00847221"/>
    <w:rsid w:val="00851E5A"/>
    <w:rsid w:val="00856752"/>
    <w:rsid w:val="00856FEB"/>
    <w:rsid w:val="0085791C"/>
    <w:rsid w:val="00866177"/>
    <w:rsid w:val="008662A0"/>
    <w:rsid w:val="00871960"/>
    <w:rsid w:val="00881594"/>
    <w:rsid w:val="008822C2"/>
    <w:rsid w:val="00883A73"/>
    <w:rsid w:val="00884404"/>
    <w:rsid w:val="0089312C"/>
    <w:rsid w:val="008A2B0C"/>
    <w:rsid w:val="008B17EC"/>
    <w:rsid w:val="008B2C47"/>
    <w:rsid w:val="008B68E5"/>
    <w:rsid w:val="008C0E6C"/>
    <w:rsid w:val="008C5BE6"/>
    <w:rsid w:val="008C7ED7"/>
    <w:rsid w:val="008D2651"/>
    <w:rsid w:val="008D4D0F"/>
    <w:rsid w:val="008D796F"/>
    <w:rsid w:val="008D7F0F"/>
    <w:rsid w:val="008E5153"/>
    <w:rsid w:val="008E5F41"/>
    <w:rsid w:val="008E758D"/>
    <w:rsid w:val="008E76E2"/>
    <w:rsid w:val="008E79EC"/>
    <w:rsid w:val="008F0B4C"/>
    <w:rsid w:val="008F15EF"/>
    <w:rsid w:val="008F5ABD"/>
    <w:rsid w:val="009144F6"/>
    <w:rsid w:val="00915AEB"/>
    <w:rsid w:val="00917607"/>
    <w:rsid w:val="00927583"/>
    <w:rsid w:val="00927611"/>
    <w:rsid w:val="00932322"/>
    <w:rsid w:val="009327F3"/>
    <w:rsid w:val="00937E6A"/>
    <w:rsid w:val="0094311D"/>
    <w:rsid w:val="009442E6"/>
    <w:rsid w:val="00955E1A"/>
    <w:rsid w:val="00956B94"/>
    <w:rsid w:val="00960263"/>
    <w:rsid w:val="00960639"/>
    <w:rsid w:val="00960844"/>
    <w:rsid w:val="00960EAB"/>
    <w:rsid w:val="0096428F"/>
    <w:rsid w:val="00967039"/>
    <w:rsid w:val="00971A71"/>
    <w:rsid w:val="009747A4"/>
    <w:rsid w:val="0097798B"/>
    <w:rsid w:val="00985E4E"/>
    <w:rsid w:val="0098714A"/>
    <w:rsid w:val="00993AF5"/>
    <w:rsid w:val="00994BA5"/>
    <w:rsid w:val="009A1449"/>
    <w:rsid w:val="009A3430"/>
    <w:rsid w:val="009A7B7B"/>
    <w:rsid w:val="009B169C"/>
    <w:rsid w:val="009B4545"/>
    <w:rsid w:val="009B7670"/>
    <w:rsid w:val="009B7EEB"/>
    <w:rsid w:val="009C08DF"/>
    <w:rsid w:val="009D39D8"/>
    <w:rsid w:val="009D5EA1"/>
    <w:rsid w:val="009D6727"/>
    <w:rsid w:val="009E0265"/>
    <w:rsid w:val="009E24B8"/>
    <w:rsid w:val="009E2A2B"/>
    <w:rsid w:val="009E2EAE"/>
    <w:rsid w:val="009E3621"/>
    <w:rsid w:val="009E397E"/>
    <w:rsid w:val="009E4A1D"/>
    <w:rsid w:val="009E7C6A"/>
    <w:rsid w:val="009E7E59"/>
    <w:rsid w:val="009F3F9C"/>
    <w:rsid w:val="009F53B7"/>
    <w:rsid w:val="00A04F60"/>
    <w:rsid w:val="00A113DD"/>
    <w:rsid w:val="00A15A30"/>
    <w:rsid w:val="00A169B6"/>
    <w:rsid w:val="00A20A90"/>
    <w:rsid w:val="00A2683B"/>
    <w:rsid w:val="00A42B14"/>
    <w:rsid w:val="00A52424"/>
    <w:rsid w:val="00A54AF5"/>
    <w:rsid w:val="00A6069E"/>
    <w:rsid w:val="00A67AC2"/>
    <w:rsid w:val="00A719D0"/>
    <w:rsid w:val="00A7307F"/>
    <w:rsid w:val="00A75C36"/>
    <w:rsid w:val="00A80ECE"/>
    <w:rsid w:val="00A87543"/>
    <w:rsid w:val="00A916F2"/>
    <w:rsid w:val="00A920CE"/>
    <w:rsid w:val="00A933F1"/>
    <w:rsid w:val="00A96554"/>
    <w:rsid w:val="00AA0051"/>
    <w:rsid w:val="00AA3084"/>
    <w:rsid w:val="00AA70A5"/>
    <w:rsid w:val="00AB26BC"/>
    <w:rsid w:val="00AB69EF"/>
    <w:rsid w:val="00AC6CEF"/>
    <w:rsid w:val="00AD44C9"/>
    <w:rsid w:val="00AD769D"/>
    <w:rsid w:val="00AE0811"/>
    <w:rsid w:val="00AE7411"/>
    <w:rsid w:val="00AF0699"/>
    <w:rsid w:val="00AF3215"/>
    <w:rsid w:val="00AF53CA"/>
    <w:rsid w:val="00B03C57"/>
    <w:rsid w:val="00B05A33"/>
    <w:rsid w:val="00B05E32"/>
    <w:rsid w:val="00B0637B"/>
    <w:rsid w:val="00B13AEA"/>
    <w:rsid w:val="00B254A2"/>
    <w:rsid w:val="00B30C93"/>
    <w:rsid w:val="00B312FA"/>
    <w:rsid w:val="00B41836"/>
    <w:rsid w:val="00B45FEE"/>
    <w:rsid w:val="00B53A17"/>
    <w:rsid w:val="00B558F3"/>
    <w:rsid w:val="00B601BE"/>
    <w:rsid w:val="00B63F23"/>
    <w:rsid w:val="00B6658D"/>
    <w:rsid w:val="00B67536"/>
    <w:rsid w:val="00B74F3C"/>
    <w:rsid w:val="00B85377"/>
    <w:rsid w:val="00B90EAF"/>
    <w:rsid w:val="00B90EB1"/>
    <w:rsid w:val="00B96D27"/>
    <w:rsid w:val="00BA024A"/>
    <w:rsid w:val="00BA0D05"/>
    <w:rsid w:val="00BA0FFA"/>
    <w:rsid w:val="00BA236F"/>
    <w:rsid w:val="00BB5F2A"/>
    <w:rsid w:val="00BB65B7"/>
    <w:rsid w:val="00BB6620"/>
    <w:rsid w:val="00BC02B8"/>
    <w:rsid w:val="00BC1E74"/>
    <w:rsid w:val="00BC2F9A"/>
    <w:rsid w:val="00BC3644"/>
    <w:rsid w:val="00BC3EAD"/>
    <w:rsid w:val="00BC427F"/>
    <w:rsid w:val="00BE1DB5"/>
    <w:rsid w:val="00BE2F64"/>
    <w:rsid w:val="00BE42F1"/>
    <w:rsid w:val="00BE62CD"/>
    <w:rsid w:val="00BF0E49"/>
    <w:rsid w:val="00BF7B36"/>
    <w:rsid w:val="00C04B2A"/>
    <w:rsid w:val="00C231F7"/>
    <w:rsid w:val="00C25BDF"/>
    <w:rsid w:val="00C37D00"/>
    <w:rsid w:val="00C4229E"/>
    <w:rsid w:val="00C46602"/>
    <w:rsid w:val="00C555CA"/>
    <w:rsid w:val="00C62E73"/>
    <w:rsid w:val="00C63948"/>
    <w:rsid w:val="00C67B07"/>
    <w:rsid w:val="00C74BB9"/>
    <w:rsid w:val="00C75BEB"/>
    <w:rsid w:val="00C7637E"/>
    <w:rsid w:val="00C813E1"/>
    <w:rsid w:val="00C83F65"/>
    <w:rsid w:val="00C83FD6"/>
    <w:rsid w:val="00C846C3"/>
    <w:rsid w:val="00C92518"/>
    <w:rsid w:val="00C937A7"/>
    <w:rsid w:val="00C94C95"/>
    <w:rsid w:val="00CA1BF9"/>
    <w:rsid w:val="00CA3C60"/>
    <w:rsid w:val="00CA428E"/>
    <w:rsid w:val="00CA7A34"/>
    <w:rsid w:val="00CB3B38"/>
    <w:rsid w:val="00CB6647"/>
    <w:rsid w:val="00CB686E"/>
    <w:rsid w:val="00CC7F75"/>
    <w:rsid w:val="00CE02F8"/>
    <w:rsid w:val="00CF164C"/>
    <w:rsid w:val="00D00F8D"/>
    <w:rsid w:val="00D03881"/>
    <w:rsid w:val="00D168EC"/>
    <w:rsid w:val="00D16BD4"/>
    <w:rsid w:val="00D2458A"/>
    <w:rsid w:val="00D24840"/>
    <w:rsid w:val="00D24FED"/>
    <w:rsid w:val="00D26A61"/>
    <w:rsid w:val="00D26BFF"/>
    <w:rsid w:val="00D30725"/>
    <w:rsid w:val="00D34668"/>
    <w:rsid w:val="00D42B62"/>
    <w:rsid w:val="00D44647"/>
    <w:rsid w:val="00D451E9"/>
    <w:rsid w:val="00D55057"/>
    <w:rsid w:val="00D57D11"/>
    <w:rsid w:val="00D75C0A"/>
    <w:rsid w:val="00D77605"/>
    <w:rsid w:val="00D77C03"/>
    <w:rsid w:val="00D8460B"/>
    <w:rsid w:val="00D95139"/>
    <w:rsid w:val="00DA5048"/>
    <w:rsid w:val="00DA5706"/>
    <w:rsid w:val="00DB2795"/>
    <w:rsid w:val="00DB2ABC"/>
    <w:rsid w:val="00DB31FD"/>
    <w:rsid w:val="00DB524E"/>
    <w:rsid w:val="00DC5219"/>
    <w:rsid w:val="00DC686A"/>
    <w:rsid w:val="00DD0F4B"/>
    <w:rsid w:val="00DE3368"/>
    <w:rsid w:val="00E005B3"/>
    <w:rsid w:val="00E01169"/>
    <w:rsid w:val="00E028C3"/>
    <w:rsid w:val="00E031C7"/>
    <w:rsid w:val="00E03CD1"/>
    <w:rsid w:val="00E12C4A"/>
    <w:rsid w:val="00E234C1"/>
    <w:rsid w:val="00E24E7B"/>
    <w:rsid w:val="00E27C43"/>
    <w:rsid w:val="00E3776B"/>
    <w:rsid w:val="00E40D6D"/>
    <w:rsid w:val="00E53BCD"/>
    <w:rsid w:val="00E56E81"/>
    <w:rsid w:val="00E5729A"/>
    <w:rsid w:val="00E63FA4"/>
    <w:rsid w:val="00E64006"/>
    <w:rsid w:val="00E65FE4"/>
    <w:rsid w:val="00E730E0"/>
    <w:rsid w:val="00E77216"/>
    <w:rsid w:val="00E80F0F"/>
    <w:rsid w:val="00E833FE"/>
    <w:rsid w:val="00E94069"/>
    <w:rsid w:val="00E9674A"/>
    <w:rsid w:val="00EA1A6C"/>
    <w:rsid w:val="00EA2B1B"/>
    <w:rsid w:val="00EB2252"/>
    <w:rsid w:val="00EC05A9"/>
    <w:rsid w:val="00EC3583"/>
    <w:rsid w:val="00EC3971"/>
    <w:rsid w:val="00EC4507"/>
    <w:rsid w:val="00EC6686"/>
    <w:rsid w:val="00ED02A7"/>
    <w:rsid w:val="00ED4BB2"/>
    <w:rsid w:val="00ED4FCC"/>
    <w:rsid w:val="00EF1E95"/>
    <w:rsid w:val="00EF2FF3"/>
    <w:rsid w:val="00EF7EFF"/>
    <w:rsid w:val="00F04502"/>
    <w:rsid w:val="00F06244"/>
    <w:rsid w:val="00F07CC1"/>
    <w:rsid w:val="00F1081A"/>
    <w:rsid w:val="00F14613"/>
    <w:rsid w:val="00F17324"/>
    <w:rsid w:val="00F3639D"/>
    <w:rsid w:val="00F4125C"/>
    <w:rsid w:val="00F42D58"/>
    <w:rsid w:val="00F44074"/>
    <w:rsid w:val="00F44279"/>
    <w:rsid w:val="00F47C6E"/>
    <w:rsid w:val="00F51867"/>
    <w:rsid w:val="00F521E7"/>
    <w:rsid w:val="00F65153"/>
    <w:rsid w:val="00F65A60"/>
    <w:rsid w:val="00F66652"/>
    <w:rsid w:val="00F66EEF"/>
    <w:rsid w:val="00F748FE"/>
    <w:rsid w:val="00F779B4"/>
    <w:rsid w:val="00F8063B"/>
    <w:rsid w:val="00F80AE7"/>
    <w:rsid w:val="00F81F0D"/>
    <w:rsid w:val="00F82F20"/>
    <w:rsid w:val="00F83EEB"/>
    <w:rsid w:val="00F86FC9"/>
    <w:rsid w:val="00F92751"/>
    <w:rsid w:val="00F96BE9"/>
    <w:rsid w:val="00FA29EB"/>
    <w:rsid w:val="00FA350F"/>
    <w:rsid w:val="00FA3F04"/>
    <w:rsid w:val="00FA4488"/>
    <w:rsid w:val="00FB022C"/>
    <w:rsid w:val="00FB0ECB"/>
    <w:rsid w:val="00FB780F"/>
    <w:rsid w:val="00FC3511"/>
    <w:rsid w:val="00FC5224"/>
    <w:rsid w:val="00FC616C"/>
    <w:rsid w:val="00FD6BAA"/>
    <w:rsid w:val="00FE0A6A"/>
    <w:rsid w:val="00FE1F79"/>
    <w:rsid w:val="00FE3C46"/>
    <w:rsid w:val="00FE519F"/>
    <w:rsid w:val="00FE5949"/>
    <w:rsid w:val="00FE6BCC"/>
    <w:rsid w:val="00FF1721"/>
    <w:rsid w:val="00FF2D08"/>
    <w:rsid w:val="00FF311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E2C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67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467D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C3EF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C3EF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C3EF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C3EF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C3EF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3DD"/>
    <w:pPr>
      <w:ind w:left="720"/>
      <w:contextualSpacing/>
    </w:pPr>
  </w:style>
  <w:style w:type="paragraph" w:styleId="Header">
    <w:name w:val="header"/>
    <w:basedOn w:val="Normal"/>
    <w:link w:val="HeaderChar"/>
    <w:uiPriority w:val="99"/>
    <w:unhideWhenUsed/>
    <w:rsid w:val="001501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010E"/>
  </w:style>
  <w:style w:type="paragraph" w:styleId="Footer">
    <w:name w:val="footer"/>
    <w:basedOn w:val="Normal"/>
    <w:link w:val="FooterChar"/>
    <w:uiPriority w:val="99"/>
    <w:unhideWhenUsed/>
    <w:rsid w:val="001501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010E"/>
  </w:style>
  <w:style w:type="character" w:styleId="CommentReference">
    <w:name w:val="annotation reference"/>
    <w:basedOn w:val="DefaultParagraphFont"/>
    <w:uiPriority w:val="99"/>
    <w:semiHidden/>
    <w:unhideWhenUsed/>
    <w:rsid w:val="00337FC8"/>
    <w:rPr>
      <w:sz w:val="16"/>
      <w:szCs w:val="16"/>
    </w:rPr>
  </w:style>
  <w:style w:type="paragraph" w:styleId="CommentText">
    <w:name w:val="annotation text"/>
    <w:basedOn w:val="Normal"/>
    <w:link w:val="CommentTextChar"/>
    <w:uiPriority w:val="99"/>
    <w:semiHidden/>
    <w:unhideWhenUsed/>
    <w:rsid w:val="00337FC8"/>
    <w:pPr>
      <w:spacing w:line="240" w:lineRule="auto"/>
    </w:pPr>
    <w:rPr>
      <w:sz w:val="20"/>
      <w:szCs w:val="20"/>
    </w:rPr>
  </w:style>
  <w:style w:type="character" w:customStyle="1" w:styleId="CommentTextChar">
    <w:name w:val="Comment Text Char"/>
    <w:basedOn w:val="DefaultParagraphFont"/>
    <w:link w:val="CommentText"/>
    <w:uiPriority w:val="99"/>
    <w:semiHidden/>
    <w:rsid w:val="00337FC8"/>
    <w:rPr>
      <w:sz w:val="20"/>
      <w:szCs w:val="20"/>
    </w:rPr>
  </w:style>
  <w:style w:type="paragraph" w:styleId="CommentSubject">
    <w:name w:val="annotation subject"/>
    <w:basedOn w:val="CommentText"/>
    <w:next w:val="CommentText"/>
    <w:link w:val="CommentSubjectChar"/>
    <w:uiPriority w:val="99"/>
    <w:semiHidden/>
    <w:unhideWhenUsed/>
    <w:rsid w:val="00337FC8"/>
    <w:rPr>
      <w:b/>
      <w:bCs/>
    </w:rPr>
  </w:style>
  <w:style w:type="character" w:customStyle="1" w:styleId="CommentSubjectChar">
    <w:name w:val="Comment Subject Char"/>
    <w:basedOn w:val="CommentTextChar"/>
    <w:link w:val="CommentSubject"/>
    <w:uiPriority w:val="99"/>
    <w:semiHidden/>
    <w:rsid w:val="00337FC8"/>
    <w:rPr>
      <w:b/>
      <w:bCs/>
      <w:sz w:val="20"/>
      <w:szCs w:val="20"/>
    </w:rPr>
  </w:style>
  <w:style w:type="paragraph" w:styleId="BalloonText">
    <w:name w:val="Balloon Text"/>
    <w:basedOn w:val="Normal"/>
    <w:link w:val="BalloonTextChar"/>
    <w:uiPriority w:val="99"/>
    <w:semiHidden/>
    <w:unhideWhenUsed/>
    <w:rsid w:val="00337F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FC8"/>
    <w:rPr>
      <w:rFonts w:ascii="Tahoma" w:hAnsi="Tahoma" w:cs="Tahoma"/>
      <w:sz w:val="16"/>
      <w:szCs w:val="16"/>
    </w:rPr>
  </w:style>
  <w:style w:type="character" w:styleId="Hyperlink">
    <w:name w:val="Hyperlink"/>
    <w:basedOn w:val="DefaultParagraphFont"/>
    <w:uiPriority w:val="99"/>
    <w:unhideWhenUsed/>
    <w:rsid w:val="00251FDD"/>
    <w:rPr>
      <w:color w:val="0000FF" w:themeColor="hyperlink"/>
      <w:u w:val="single"/>
    </w:rPr>
  </w:style>
  <w:style w:type="character" w:customStyle="1" w:styleId="Heading1Char">
    <w:name w:val="Heading 1 Char"/>
    <w:basedOn w:val="DefaultParagraphFont"/>
    <w:link w:val="Heading1"/>
    <w:uiPriority w:val="9"/>
    <w:rsid w:val="004E2CF1"/>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D75C0A"/>
    <w:rPr>
      <w:i/>
      <w:iCs/>
    </w:rPr>
  </w:style>
  <w:style w:type="character" w:customStyle="1" w:styleId="apple-converted-space">
    <w:name w:val="apple-converted-space"/>
    <w:basedOn w:val="DefaultParagraphFont"/>
    <w:rsid w:val="00D75C0A"/>
  </w:style>
  <w:style w:type="paragraph" w:styleId="Revision">
    <w:name w:val="Revision"/>
    <w:hidden/>
    <w:uiPriority w:val="99"/>
    <w:semiHidden/>
    <w:rsid w:val="00A933F1"/>
    <w:pPr>
      <w:spacing w:after="0" w:line="240" w:lineRule="auto"/>
    </w:pPr>
  </w:style>
  <w:style w:type="paragraph" w:styleId="EndnoteText">
    <w:name w:val="endnote text"/>
    <w:basedOn w:val="Normal"/>
    <w:link w:val="EndnoteTextChar"/>
    <w:uiPriority w:val="99"/>
    <w:semiHidden/>
    <w:unhideWhenUsed/>
    <w:rsid w:val="0008601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8601D"/>
    <w:rPr>
      <w:sz w:val="20"/>
      <w:szCs w:val="20"/>
    </w:rPr>
  </w:style>
  <w:style w:type="character" w:styleId="EndnoteReference">
    <w:name w:val="endnote reference"/>
    <w:basedOn w:val="DefaultParagraphFont"/>
    <w:uiPriority w:val="99"/>
    <w:semiHidden/>
    <w:unhideWhenUsed/>
    <w:rsid w:val="0008601D"/>
    <w:rPr>
      <w:vertAlign w:val="superscript"/>
    </w:rPr>
  </w:style>
  <w:style w:type="paragraph" w:styleId="FootnoteText">
    <w:name w:val="footnote text"/>
    <w:basedOn w:val="Normal"/>
    <w:link w:val="FootnoteTextChar"/>
    <w:uiPriority w:val="99"/>
    <w:semiHidden/>
    <w:unhideWhenUsed/>
    <w:rsid w:val="000860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601D"/>
    <w:rPr>
      <w:sz w:val="20"/>
      <w:szCs w:val="20"/>
    </w:rPr>
  </w:style>
  <w:style w:type="character" w:styleId="FootnoteReference">
    <w:name w:val="footnote reference"/>
    <w:basedOn w:val="DefaultParagraphFont"/>
    <w:uiPriority w:val="99"/>
    <w:semiHidden/>
    <w:unhideWhenUsed/>
    <w:rsid w:val="0008601D"/>
    <w:rPr>
      <w:vertAlign w:val="superscript"/>
    </w:rPr>
  </w:style>
  <w:style w:type="paragraph" w:styleId="TOCHeading">
    <w:name w:val="TOC Heading"/>
    <w:basedOn w:val="Heading1"/>
    <w:next w:val="Normal"/>
    <w:uiPriority w:val="39"/>
    <w:semiHidden/>
    <w:unhideWhenUsed/>
    <w:qFormat/>
    <w:rsid w:val="006467DF"/>
    <w:pPr>
      <w:outlineLvl w:val="9"/>
    </w:pPr>
    <w:rPr>
      <w:lang w:val="en-US" w:eastAsia="ja-JP"/>
    </w:rPr>
  </w:style>
  <w:style w:type="paragraph" w:styleId="TOC1">
    <w:name w:val="toc 1"/>
    <w:basedOn w:val="Normal"/>
    <w:next w:val="Normal"/>
    <w:autoRedefine/>
    <w:uiPriority w:val="39"/>
    <w:unhideWhenUsed/>
    <w:qFormat/>
    <w:rsid w:val="006467DF"/>
    <w:pPr>
      <w:spacing w:after="100"/>
    </w:pPr>
  </w:style>
  <w:style w:type="paragraph" w:styleId="TOC2">
    <w:name w:val="toc 2"/>
    <w:basedOn w:val="Normal"/>
    <w:next w:val="Normal"/>
    <w:autoRedefine/>
    <w:uiPriority w:val="39"/>
    <w:unhideWhenUsed/>
    <w:qFormat/>
    <w:rsid w:val="006467DF"/>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9A7B7B"/>
    <w:pPr>
      <w:spacing w:after="100"/>
      <w:ind w:left="284"/>
    </w:pPr>
    <w:rPr>
      <w:rFonts w:eastAsiaTheme="minorEastAsia"/>
      <w:b/>
      <w:lang w:val="en-US" w:eastAsia="ja-JP"/>
    </w:rPr>
  </w:style>
  <w:style w:type="character" w:customStyle="1" w:styleId="Heading2Char">
    <w:name w:val="Heading 2 Char"/>
    <w:basedOn w:val="DefaultParagraphFont"/>
    <w:link w:val="Heading2"/>
    <w:uiPriority w:val="9"/>
    <w:rsid w:val="006467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467D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C3EF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C3EF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C3EF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C3EF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C3EF9"/>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E2C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67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467D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C3EF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C3EF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C3EF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C3EF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C3EF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3DD"/>
    <w:pPr>
      <w:ind w:left="720"/>
      <w:contextualSpacing/>
    </w:pPr>
  </w:style>
  <w:style w:type="paragraph" w:styleId="Header">
    <w:name w:val="header"/>
    <w:basedOn w:val="Normal"/>
    <w:link w:val="HeaderChar"/>
    <w:uiPriority w:val="99"/>
    <w:unhideWhenUsed/>
    <w:rsid w:val="001501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010E"/>
  </w:style>
  <w:style w:type="paragraph" w:styleId="Footer">
    <w:name w:val="footer"/>
    <w:basedOn w:val="Normal"/>
    <w:link w:val="FooterChar"/>
    <w:uiPriority w:val="99"/>
    <w:unhideWhenUsed/>
    <w:rsid w:val="001501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010E"/>
  </w:style>
  <w:style w:type="character" w:styleId="CommentReference">
    <w:name w:val="annotation reference"/>
    <w:basedOn w:val="DefaultParagraphFont"/>
    <w:uiPriority w:val="99"/>
    <w:semiHidden/>
    <w:unhideWhenUsed/>
    <w:rsid w:val="00337FC8"/>
    <w:rPr>
      <w:sz w:val="16"/>
      <w:szCs w:val="16"/>
    </w:rPr>
  </w:style>
  <w:style w:type="paragraph" w:styleId="CommentText">
    <w:name w:val="annotation text"/>
    <w:basedOn w:val="Normal"/>
    <w:link w:val="CommentTextChar"/>
    <w:uiPriority w:val="99"/>
    <w:semiHidden/>
    <w:unhideWhenUsed/>
    <w:rsid w:val="00337FC8"/>
    <w:pPr>
      <w:spacing w:line="240" w:lineRule="auto"/>
    </w:pPr>
    <w:rPr>
      <w:sz w:val="20"/>
      <w:szCs w:val="20"/>
    </w:rPr>
  </w:style>
  <w:style w:type="character" w:customStyle="1" w:styleId="CommentTextChar">
    <w:name w:val="Comment Text Char"/>
    <w:basedOn w:val="DefaultParagraphFont"/>
    <w:link w:val="CommentText"/>
    <w:uiPriority w:val="99"/>
    <w:semiHidden/>
    <w:rsid w:val="00337FC8"/>
    <w:rPr>
      <w:sz w:val="20"/>
      <w:szCs w:val="20"/>
    </w:rPr>
  </w:style>
  <w:style w:type="paragraph" w:styleId="CommentSubject">
    <w:name w:val="annotation subject"/>
    <w:basedOn w:val="CommentText"/>
    <w:next w:val="CommentText"/>
    <w:link w:val="CommentSubjectChar"/>
    <w:uiPriority w:val="99"/>
    <w:semiHidden/>
    <w:unhideWhenUsed/>
    <w:rsid w:val="00337FC8"/>
    <w:rPr>
      <w:b/>
      <w:bCs/>
    </w:rPr>
  </w:style>
  <w:style w:type="character" w:customStyle="1" w:styleId="CommentSubjectChar">
    <w:name w:val="Comment Subject Char"/>
    <w:basedOn w:val="CommentTextChar"/>
    <w:link w:val="CommentSubject"/>
    <w:uiPriority w:val="99"/>
    <w:semiHidden/>
    <w:rsid w:val="00337FC8"/>
    <w:rPr>
      <w:b/>
      <w:bCs/>
      <w:sz w:val="20"/>
      <w:szCs w:val="20"/>
    </w:rPr>
  </w:style>
  <w:style w:type="paragraph" w:styleId="BalloonText">
    <w:name w:val="Balloon Text"/>
    <w:basedOn w:val="Normal"/>
    <w:link w:val="BalloonTextChar"/>
    <w:uiPriority w:val="99"/>
    <w:semiHidden/>
    <w:unhideWhenUsed/>
    <w:rsid w:val="00337F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FC8"/>
    <w:rPr>
      <w:rFonts w:ascii="Tahoma" w:hAnsi="Tahoma" w:cs="Tahoma"/>
      <w:sz w:val="16"/>
      <w:szCs w:val="16"/>
    </w:rPr>
  </w:style>
  <w:style w:type="character" w:styleId="Hyperlink">
    <w:name w:val="Hyperlink"/>
    <w:basedOn w:val="DefaultParagraphFont"/>
    <w:uiPriority w:val="99"/>
    <w:unhideWhenUsed/>
    <w:rsid w:val="00251FDD"/>
    <w:rPr>
      <w:color w:val="0000FF" w:themeColor="hyperlink"/>
      <w:u w:val="single"/>
    </w:rPr>
  </w:style>
  <w:style w:type="character" w:customStyle="1" w:styleId="Heading1Char">
    <w:name w:val="Heading 1 Char"/>
    <w:basedOn w:val="DefaultParagraphFont"/>
    <w:link w:val="Heading1"/>
    <w:uiPriority w:val="9"/>
    <w:rsid w:val="004E2CF1"/>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D75C0A"/>
    <w:rPr>
      <w:i/>
      <w:iCs/>
    </w:rPr>
  </w:style>
  <w:style w:type="character" w:customStyle="1" w:styleId="apple-converted-space">
    <w:name w:val="apple-converted-space"/>
    <w:basedOn w:val="DefaultParagraphFont"/>
    <w:rsid w:val="00D75C0A"/>
  </w:style>
  <w:style w:type="paragraph" w:styleId="Revision">
    <w:name w:val="Revision"/>
    <w:hidden/>
    <w:uiPriority w:val="99"/>
    <w:semiHidden/>
    <w:rsid w:val="00A933F1"/>
    <w:pPr>
      <w:spacing w:after="0" w:line="240" w:lineRule="auto"/>
    </w:pPr>
  </w:style>
  <w:style w:type="paragraph" w:styleId="EndnoteText">
    <w:name w:val="endnote text"/>
    <w:basedOn w:val="Normal"/>
    <w:link w:val="EndnoteTextChar"/>
    <w:uiPriority w:val="99"/>
    <w:semiHidden/>
    <w:unhideWhenUsed/>
    <w:rsid w:val="0008601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8601D"/>
    <w:rPr>
      <w:sz w:val="20"/>
      <w:szCs w:val="20"/>
    </w:rPr>
  </w:style>
  <w:style w:type="character" w:styleId="EndnoteReference">
    <w:name w:val="endnote reference"/>
    <w:basedOn w:val="DefaultParagraphFont"/>
    <w:uiPriority w:val="99"/>
    <w:semiHidden/>
    <w:unhideWhenUsed/>
    <w:rsid w:val="0008601D"/>
    <w:rPr>
      <w:vertAlign w:val="superscript"/>
    </w:rPr>
  </w:style>
  <w:style w:type="paragraph" w:styleId="FootnoteText">
    <w:name w:val="footnote text"/>
    <w:basedOn w:val="Normal"/>
    <w:link w:val="FootnoteTextChar"/>
    <w:uiPriority w:val="99"/>
    <w:semiHidden/>
    <w:unhideWhenUsed/>
    <w:rsid w:val="000860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601D"/>
    <w:rPr>
      <w:sz w:val="20"/>
      <w:szCs w:val="20"/>
    </w:rPr>
  </w:style>
  <w:style w:type="character" w:styleId="FootnoteReference">
    <w:name w:val="footnote reference"/>
    <w:basedOn w:val="DefaultParagraphFont"/>
    <w:uiPriority w:val="99"/>
    <w:semiHidden/>
    <w:unhideWhenUsed/>
    <w:rsid w:val="0008601D"/>
    <w:rPr>
      <w:vertAlign w:val="superscript"/>
    </w:rPr>
  </w:style>
  <w:style w:type="paragraph" w:styleId="TOCHeading">
    <w:name w:val="TOC Heading"/>
    <w:basedOn w:val="Heading1"/>
    <w:next w:val="Normal"/>
    <w:uiPriority w:val="39"/>
    <w:semiHidden/>
    <w:unhideWhenUsed/>
    <w:qFormat/>
    <w:rsid w:val="006467DF"/>
    <w:pPr>
      <w:outlineLvl w:val="9"/>
    </w:pPr>
    <w:rPr>
      <w:lang w:val="en-US" w:eastAsia="ja-JP"/>
    </w:rPr>
  </w:style>
  <w:style w:type="paragraph" w:styleId="TOC1">
    <w:name w:val="toc 1"/>
    <w:basedOn w:val="Normal"/>
    <w:next w:val="Normal"/>
    <w:autoRedefine/>
    <w:uiPriority w:val="39"/>
    <w:unhideWhenUsed/>
    <w:qFormat/>
    <w:rsid w:val="006467DF"/>
    <w:pPr>
      <w:spacing w:after="100"/>
    </w:pPr>
  </w:style>
  <w:style w:type="paragraph" w:styleId="TOC2">
    <w:name w:val="toc 2"/>
    <w:basedOn w:val="Normal"/>
    <w:next w:val="Normal"/>
    <w:autoRedefine/>
    <w:uiPriority w:val="39"/>
    <w:unhideWhenUsed/>
    <w:qFormat/>
    <w:rsid w:val="006467DF"/>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9A7B7B"/>
    <w:pPr>
      <w:spacing w:after="100"/>
      <w:ind w:left="284"/>
    </w:pPr>
    <w:rPr>
      <w:rFonts w:eastAsiaTheme="minorEastAsia"/>
      <w:b/>
      <w:lang w:val="en-US" w:eastAsia="ja-JP"/>
    </w:rPr>
  </w:style>
  <w:style w:type="character" w:customStyle="1" w:styleId="Heading2Char">
    <w:name w:val="Heading 2 Char"/>
    <w:basedOn w:val="DefaultParagraphFont"/>
    <w:link w:val="Heading2"/>
    <w:uiPriority w:val="9"/>
    <w:rsid w:val="006467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467D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C3EF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C3EF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C3EF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C3EF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C3EF9"/>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31956">
      <w:bodyDiv w:val="1"/>
      <w:marLeft w:val="0"/>
      <w:marRight w:val="0"/>
      <w:marTop w:val="0"/>
      <w:marBottom w:val="0"/>
      <w:divBdr>
        <w:top w:val="none" w:sz="0" w:space="0" w:color="auto"/>
        <w:left w:val="none" w:sz="0" w:space="0" w:color="auto"/>
        <w:bottom w:val="none" w:sz="0" w:space="0" w:color="auto"/>
        <w:right w:val="none" w:sz="0" w:space="0" w:color="auto"/>
      </w:divBdr>
    </w:div>
    <w:div w:id="353071182">
      <w:bodyDiv w:val="1"/>
      <w:marLeft w:val="0"/>
      <w:marRight w:val="0"/>
      <w:marTop w:val="0"/>
      <w:marBottom w:val="0"/>
      <w:divBdr>
        <w:top w:val="none" w:sz="0" w:space="0" w:color="auto"/>
        <w:left w:val="none" w:sz="0" w:space="0" w:color="auto"/>
        <w:bottom w:val="none" w:sz="0" w:space="0" w:color="auto"/>
        <w:right w:val="none" w:sz="0" w:space="0" w:color="auto"/>
      </w:divBdr>
    </w:div>
    <w:div w:id="789933376">
      <w:bodyDiv w:val="1"/>
      <w:marLeft w:val="0"/>
      <w:marRight w:val="0"/>
      <w:marTop w:val="0"/>
      <w:marBottom w:val="0"/>
      <w:divBdr>
        <w:top w:val="none" w:sz="0" w:space="0" w:color="auto"/>
        <w:left w:val="none" w:sz="0" w:space="0" w:color="auto"/>
        <w:bottom w:val="none" w:sz="0" w:space="0" w:color="auto"/>
        <w:right w:val="none" w:sz="0" w:space="0" w:color="auto"/>
      </w:divBdr>
    </w:div>
    <w:div w:id="985742228">
      <w:bodyDiv w:val="1"/>
      <w:marLeft w:val="0"/>
      <w:marRight w:val="0"/>
      <w:marTop w:val="0"/>
      <w:marBottom w:val="0"/>
      <w:divBdr>
        <w:top w:val="none" w:sz="0" w:space="0" w:color="auto"/>
        <w:left w:val="none" w:sz="0" w:space="0" w:color="auto"/>
        <w:bottom w:val="none" w:sz="0" w:space="0" w:color="auto"/>
        <w:right w:val="none" w:sz="0" w:space="0" w:color="auto"/>
      </w:divBdr>
    </w:div>
    <w:div w:id="1024671639">
      <w:bodyDiv w:val="1"/>
      <w:marLeft w:val="0"/>
      <w:marRight w:val="0"/>
      <w:marTop w:val="0"/>
      <w:marBottom w:val="0"/>
      <w:divBdr>
        <w:top w:val="none" w:sz="0" w:space="0" w:color="auto"/>
        <w:left w:val="none" w:sz="0" w:space="0" w:color="auto"/>
        <w:bottom w:val="none" w:sz="0" w:space="0" w:color="auto"/>
        <w:right w:val="none" w:sz="0" w:space="0" w:color="auto"/>
      </w:divBdr>
    </w:div>
    <w:div w:id="1081607752">
      <w:bodyDiv w:val="1"/>
      <w:marLeft w:val="0"/>
      <w:marRight w:val="0"/>
      <w:marTop w:val="0"/>
      <w:marBottom w:val="0"/>
      <w:divBdr>
        <w:top w:val="none" w:sz="0" w:space="0" w:color="auto"/>
        <w:left w:val="none" w:sz="0" w:space="0" w:color="auto"/>
        <w:bottom w:val="none" w:sz="0" w:space="0" w:color="auto"/>
        <w:right w:val="none" w:sz="0" w:space="0" w:color="auto"/>
      </w:divBdr>
    </w:div>
    <w:div w:id="1096555759">
      <w:bodyDiv w:val="1"/>
      <w:marLeft w:val="0"/>
      <w:marRight w:val="0"/>
      <w:marTop w:val="0"/>
      <w:marBottom w:val="0"/>
      <w:divBdr>
        <w:top w:val="none" w:sz="0" w:space="0" w:color="auto"/>
        <w:left w:val="none" w:sz="0" w:space="0" w:color="auto"/>
        <w:bottom w:val="none" w:sz="0" w:space="0" w:color="auto"/>
        <w:right w:val="none" w:sz="0" w:space="0" w:color="auto"/>
      </w:divBdr>
    </w:div>
    <w:div w:id="1120223099">
      <w:bodyDiv w:val="1"/>
      <w:marLeft w:val="0"/>
      <w:marRight w:val="0"/>
      <w:marTop w:val="0"/>
      <w:marBottom w:val="0"/>
      <w:divBdr>
        <w:top w:val="none" w:sz="0" w:space="0" w:color="auto"/>
        <w:left w:val="none" w:sz="0" w:space="0" w:color="auto"/>
        <w:bottom w:val="none" w:sz="0" w:space="0" w:color="auto"/>
        <w:right w:val="none" w:sz="0" w:space="0" w:color="auto"/>
      </w:divBdr>
    </w:div>
    <w:div w:id="1155300757">
      <w:bodyDiv w:val="1"/>
      <w:marLeft w:val="0"/>
      <w:marRight w:val="0"/>
      <w:marTop w:val="0"/>
      <w:marBottom w:val="0"/>
      <w:divBdr>
        <w:top w:val="none" w:sz="0" w:space="0" w:color="auto"/>
        <w:left w:val="none" w:sz="0" w:space="0" w:color="auto"/>
        <w:bottom w:val="none" w:sz="0" w:space="0" w:color="auto"/>
        <w:right w:val="none" w:sz="0" w:space="0" w:color="auto"/>
      </w:divBdr>
    </w:div>
    <w:div w:id="1537697966">
      <w:bodyDiv w:val="1"/>
      <w:marLeft w:val="0"/>
      <w:marRight w:val="0"/>
      <w:marTop w:val="0"/>
      <w:marBottom w:val="0"/>
      <w:divBdr>
        <w:top w:val="none" w:sz="0" w:space="0" w:color="auto"/>
        <w:left w:val="none" w:sz="0" w:space="0" w:color="auto"/>
        <w:bottom w:val="none" w:sz="0" w:space="0" w:color="auto"/>
        <w:right w:val="none" w:sz="0" w:space="0" w:color="auto"/>
      </w:divBdr>
    </w:div>
    <w:div w:id="1817332472">
      <w:bodyDiv w:val="1"/>
      <w:marLeft w:val="0"/>
      <w:marRight w:val="0"/>
      <w:marTop w:val="0"/>
      <w:marBottom w:val="0"/>
      <w:divBdr>
        <w:top w:val="none" w:sz="0" w:space="0" w:color="auto"/>
        <w:left w:val="none" w:sz="0" w:space="0" w:color="auto"/>
        <w:bottom w:val="none" w:sz="0" w:space="0" w:color="auto"/>
        <w:right w:val="none" w:sz="0" w:space="0" w:color="auto"/>
      </w:divBdr>
    </w:div>
    <w:div w:id="1855924208">
      <w:bodyDiv w:val="1"/>
      <w:marLeft w:val="0"/>
      <w:marRight w:val="0"/>
      <w:marTop w:val="0"/>
      <w:marBottom w:val="0"/>
      <w:divBdr>
        <w:top w:val="none" w:sz="0" w:space="0" w:color="auto"/>
        <w:left w:val="none" w:sz="0" w:space="0" w:color="auto"/>
        <w:bottom w:val="none" w:sz="0" w:space="0" w:color="auto"/>
        <w:right w:val="none" w:sz="0" w:space="0" w:color="auto"/>
      </w:divBdr>
    </w:div>
    <w:div w:id="1890337971">
      <w:bodyDiv w:val="1"/>
      <w:marLeft w:val="0"/>
      <w:marRight w:val="0"/>
      <w:marTop w:val="0"/>
      <w:marBottom w:val="0"/>
      <w:divBdr>
        <w:top w:val="none" w:sz="0" w:space="0" w:color="auto"/>
        <w:left w:val="none" w:sz="0" w:space="0" w:color="auto"/>
        <w:bottom w:val="none" w:sz="0" w:space="0" w:color="auto"/>
        <w:right w:val="none" w:sz="0" w:space="0" w:color="auto"/>
      </w:divBdr>
    </w:div>
    <w:div w:id="2008556399">
      <w:bodyDiv w:val="1"/>
      <w:marLeft w:val="0"/>
      <w:marRight w:val="0"/>
      <w:marTop w:val="0"/>
      <w:marBottom w:val="0"/>
      <w:divBdr>
        <w:top w:val="none" w:sz="0" w:space="0" w:color="auto"/>
        <w:left w:val="none" w:sz="0" w:space="0" w:color="auto"/>
        <w:bottom w:val="none" w:sz="0" w:space="0" w:color="auto"/>
        <w:right w:val="none" w:sz="0" w:space="0" w:color="auto"/>
      </w:divBdr>
    </w:div>
    <w:div w:id="206559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cima.ned.org/sites/default/files/CIMA-Funding_Free_Expression_06-01-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64633-EA12-42F7-B449-C442C811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5514</Words>
  <Characters>31431</Characters>
  <Application>Microsoft Office Word</Application>
  <DocSecurity>4</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Stewart Chisholm</dc:creator>
  <cp:lastModifiedBy>Daphne Panayotatos</cp:lastModifiedBy>
  <cp:revision>2</cp:revision>
  <cp:lastPrinted>2014-04-29T18:33:00Z</cp:lastPrinted>
  <dcterms:created xsi:type="dcterms:W3CDTF">2014-05-01T14:14:00Z</dcterms:created>
  <dcterms:modified xsi:type="dcterms:W3CDTF">2014-05-01T14:14:00Z</dcterms:modified>
</cp:coreProperties>
</file>