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E0B" w:rsidRPr="00EF5E0B" w:rsidRDefault="00EF5E0B" w:rsidP="00EF5E0B">
      <w:pPr>
        <w:pStyle w:val="BodyA"/>
        <w:spacing w:after="0" w:line="240" w:lineRule="auto"/>
        <w:rPr>
          <w:rFonts w:asciiTheme="minorHAnsi" w:hAnsiTheme="minorHAnsi"/>
          <w:b/>
        </w:rPr>
      </w:pPr>
      <w:r w:rsidRPr="00EF5E0B">
        <w:rPr>
          <w:rFonts w:asciiTheme="minorHAnsi" w:hAnsiTheme="minorHAnsi"/>
          <w:b/>
        </w:rPr>
        <w:t xml:space="preserve">US Programs Democracy Fund </w:t>
      </w:r>
      <w:bookmarkStart w:id="0" w:name="_GoBack"/>
      <w:bookmarkEnd w:id="0"/>
    </w:p>
    <w:p w:rsidR="00EF5E0B" w:rsidRPr="00EF5E0B" w:rsidRDefault="00EF5E0B" w:rsidP="00EF5E0B">
      <w:pPr>
        <w:pStyle w:val="BodyA"/>
        <w:spacing w:after="0" w:line="240" w:lineRule="auto"/>
        <w:rPr>
          <w:rFonts w:asciiTheme="minorHAnsi" w:hAnsiTheme="minorHAnsi"/>
          <w:b/>
        </w:rPr>
      </w:pPr>
      <w:r w:rsidRPr="00EF5E0B">
        <w:rPr>
          <w:rFonts w:asciiTheme="minorHAnsi" w:hAnsiTheme="minorHAnsi"/>
          <w:b/>
        </w:rPr>
        <w:t xml:space="preserve">Portfolio Review: Voting Rights </w:t>
      </w:r>
    </w:p>
    <w:p w:rsidR="00EF5E0B" w:rsidRPr="00EF5E0B" w:rsidRDefault="00EF5E0B" w:rsidP="00EF5E0B">
      <w:pPr>
        <w:pStyle w:val="BodyA"/>
        <w:spacing w:after="0" w:line="240" w:lineRule="auto"/>
        <w:rPr>
          <w:rFonts w:asciiTheme="minorHAnsi" w:hAnsiTheme="minorHAnsi"/>
          <w:b/>
        </w:rPr>
      </w:pPr>
      <w:r w:rsidRPr="00EF5E0B">
        <w:rPr>
          <w:rFonts w:asciiTheme="minorHAnsi" w:hAnsiTheme="minorHAnsi"/>
          <w:b/>
        </w:rPr>
        <w:t>December 15, 2014</w:t>
      </w:r>
    </w:p>
    <w:p w:rsidR="00EF5E0B" w:rsidRDefault="00EF5E0B" w:rsidP="009E207A">
      <w:pPr>
        <w:pStyle w:val="BodyA"/>
        <w:rPr>
          <w:rFonts w:asciiTheme="minorHAnsi" w:hAnsiTheme="minorHAnsi"/>
          <w:b/>
          <w:sz w:val="20"/>
          <w:szCs w:val="20"/>
        </w:rPr>
      </w:pPr>
    </w:p>
    <w:p w:rsidR="009E207A" w:rsidRPr="002D4C88" w:rsidRDefault="00EF61D5" w:rsidP="009E207A">
      <w:pPr>
        <w:pStyle w:val="BodyA"/>
        <w:rPr>
          <w:rFonts w:asciiTheme="minorHAnsi" w:hAnsiTheme="minorHAnsi"/>
          <w:b/>
          <w:bCs/>
          <w:i/>
          <w:iCs/>
          <w:sz w:val="20"/>
          <w:szCs w:val="20"/>
        </w:rPr>
      </w:pPr>
      <w:r w:rsidRPr="002D4C88">
        <w:rPr>
          <w:rFonts w:asciiTheme="minorHAnsi" w:hAnsiTheme="minorHAnsi"/>
          <w:b/>
          <w:sz w:val="20"/>
          <w:szCs w:val="20"/>
        </w:rPr>
        <w:t>INCIDENT</w:t>
      </w:r>
      <w:r w:rsidR="0001049C">
        <w:rPr>
          <w:rFonts w:asciiTheme="minorHAnsi" w:hAnsiTheme="minorHAnsi"/>
          <w:b/>
          <w:sz w:val="20"/>
          <w:szCs w:val="20"/>
        </w:rPr>
        <w:t xml:space="preserve"> ONE</w:t>
      </w:r>
      <w:r w:rsidRPr="002D4C88">
        <w:rPr>
          <w:rFonts w:asciiTheme="minorHAnsi" w:hAnsiTheme="minorHAnsi"/>
          <w:b/>
          <w:sz w:val="20"/>
          <w:szCs w:val="20"/>
        </w:rPr>
        <w:t>:</w:t>
      </w:r>
      <w:r w:rsidR="009E207A" w:rsidRPr="002D4C88">
        <w:rPr>
          <w:rFonts w:asciiTheme="minorHAnsi" w:hAnsiTheme="minorHAnsi"/>
          <w:b/>
          <w:sz w:val="20"/>
          <w:szCs w:val="20"/>
        </w:rPr>
        <w:t xml:space="preserve"> </w:t>
      </w:r>
      <w:r w:rsidR="009E207A" w:rsidRPr="002D4C88">
        <w:rPr>
          <w:rFonts w:asciiTheme="minorHAnsi" w:hAnsiTheme="minorHAnsi"/>
          <w:i/>
          <w:iCs/>
          <w:sz w:val="20"/>
          <w:szCs w:val="20"/>
          <w:u w:val="single"/>
        </w:rPr>
        <w:t xml:space="preserve">The </w:t>
      </w:r>
      <w:r w:rsidR="0001049C">
        <w:rPr>
          <w:rFonts w:asciiTheme="minorHAnsi" w:hAnsiTheme="minorHAnsi"/>
          <w:i/>
          <w:iCs/>
          <w:sz w:val="20"/>
          <w:szCs w:val="20"/>
          <w:u w:val="single"/>
        </w:rPr>
        <w:t>2011-201</w:t>
      </w:r>
      <w:r w:rsidR="00A17DC5" w:rsidRPr="002D4C88">
        <w:rPr>
          <w:rFonts w:asciiTheme="minorHAnsi" w:hAnsiTheme="minorHAnsi"/>
          <w:i/>
          <w:iCs/>
          <w:sz w:val="20"/>
          <w:szCs w:val="20"/>
          <w:u w:val="single"/>
        </w:rPr>
        <w:t xml:space="preserve">2 </w:t>
      </w:r>
      <w:r w:rsidR="002F28E0" w:rsidRPr="002D4C88">
        <w:rPr>
          <w:rFonts w:asciiTheme="minorHAnsi" w:hAnsiTheme="minorHAnsi"/>
          <w:i/>
          <w:iCs/>
          <w:sz w:val="20"/>
          <w:szCs w:val="20"/>
          <w:u w:val="single"/>
        </w:rPr>
        <w:t>“war on voting</w:t>
      </w:r>
      <w:r w:rsidR="00A17DC5" w:rsidRPr="002D4C88">
        <w:rPr>
          <w:rFonts w:asciiTheme="minorHAnsi" w:hAnsiTheme="minorHAnsi"/>
          <w:i/>
          <w:iCs/>
          <w:sz w:val="20"/>
          <w:szCs w:val="20"/>
          <w:u w:val="single"/>
        </w:rPr>
        <w:t>,</w:t>
      </w:r>
      <w:r w:rsidR="002F28E0" w:rsidRPr="002D4C88">
        <w:rPr>
          <w:rFonts w:asciiTheme="minorHAnsi" w:hAnsiTheme="minorHAnsi"/>
          <w:i/>
          <w:iCs/>
          <w:sz w:val="20"/>
          <w:szCs w:val="20"/>
          <w:u w:val="single"/>
        </w:rPr>
        <w:t>”</w:t>
      </w:r>
      <w:r w:rsidR="00A17DC5" w:rsidRPr="002D4C88">
        <w:rPr>
          <w:rFonts w:asciiTheme="minorHAnsi" w:hAnsiTheme="minorHAnsi"/>
          <w:i/>
          <w:iCs/>
          <w:sz w:val="20"/>
          <w:szCs w:val="20"/>
          <w:u w:val="single"/>
        </w:rPr>
        <w:t xml:space="preserve"> </w:t>
      </w:r>
      <w:r w:rsidR="002F28E0" w:rsidRPr="002D4C88">
        <w:rPr>
          <w:rFonts w:asciiTheme="minorHAnsi" w:hAnsiTheme="minorHAnsi"/>
          <w:i/>
          <w:iCs/>
          <w:sz w:val="20"/>
          <w:szCs w:val="20"/>
          <w:u w:val="single"/>
        </w:rPr>
        <w:t xml:space="preserve">waged </w:t>
      </w:r>
      <w:r w:rsidR="009E207A" w:rsidRPr="002D4C88">
        <w:rPr>
          <w:rFonts w:asciiTheme="minorHAnsi" w:hAnsiTheme="minorHAnsi"/>
          <w:i/>
          <w:iCs/>
          <w:sz w:val="20"/>
          <w:szCs w:val="20"/>
          <w:u w:val="single"/>
        </w:rPr>
        <w:t>to disenfranchise th</w:t>
      </w:r>
      <w:r w:rsidR="00DB4598" w:rsidRPr="002D4C88">
        <w:rPr>
          <w:rFonts w:asciiTheme="minorHAnsi" w:hAnsiTheme="minorHAnsi"/>
          <w:i/>
          <w:iCs/>
          <w:sz w:val="20"/>
          <w:szCs w:val="20"/>
          <w:u w:val="single"/>
        </w:rPr>
        <w:t xml:space="preserve">ose who elected Barack Obama </w:t>
      </w:r>
    </w:p>
    <w:p w:rsidR="006C56B1" w:rsidRDefault="00DA321E" w:rsidP="00816E35">
      <w:pPr>
        <w:rPr>
          <w:b/>
          <w:sz w:val="20"/>
          <w:szCs w:val="20"/>
        </w:rPr>
      </w:pPr>
      <w:r w:rsidRPr="002D4C88">
        <w:rPr>
          <w:b/>
          <w:sz w:val="20"/>
          <w:szCs w:val="20"/>
        </w:rPr>
        <w:t>Lead up to the “war” -</w:t>
      </w:r>
      <w:r w:rsidR="00F369D5" w:rsidRPr="002D4C88">
        <w:rPr>
          <w:b/>
          <w:sz w:val="20"/>
          <w:szCs w:val="20"/>
        </w:rPr>
        <w:t xml:space="preserve"> </w:t>
      </w:r>
      <w:r w:rsidR="00B3249E" w:rsidRPr="002D4C88">
        <w:rPr>
          <w:b/>
          <w:sz w:val="20"/>
          <w:szCs w:val="20"/>
        </w:rPr>
        <w:t>200</w:t>
      </w:r>
      <w:r w:rsidR="00E15967" w:rsidRPr="002D4C88">
        <w:rPr>
          <w:b/>
          <w:sz w:val="20"/>
          <w:szCs w:val="20"/>
        </w:rPr>
        <w:t xml:space="preserve">9 &amp; </w:t>
      </w:r>
      <w:r w:rsidR="00F369D5" w:rsidRPr="002D4C88">
        <w:rPr>
          <w:b/>
          <w:sz w:val="20"/>
          <w:szCs w:val="20"/>
        </w:rPr>
        <w:t>2010</w:t>
      </w:r>
      <w:r w:rsidR="00117F8E" w:rsidRPr="002D4C88">
        <w:rPr>
          <w:b/>
          <w:sz w:val="20"/>
          <w:szCs w:val="20"/>
        </w:rPr>
        <w:t>:</w:t>
      </w:r>
    </w:p>
    <w:p w:rsidR="00A35057" w:rsidRPr="002D4C88" w:rsidRDefault="00130C15" w:rsidP="00816E35">
      <w:pPr>
        <w:rPr>
          <w:b/>
          <w:sz w:val="20"/>
          <w:szCs w:val="20"/>
        </w:rPr>
      </w:pPr>
      <w:r w:rsidRPr="002D4C88">
        <w:rPr>
          <w:sz w:val="20"/>
          <w:szCs w:val="20"/>
        </w:rPr>
        <w:t>When</w:t>
      </w:r>
      <w:r w:rsidRPr="002D4C88">
        <w:rPr>
          <w:b/>
          <w:sz w:val="20"/>
          <w:szCs w:val="20"/>
        </w:rPr>
        <w:t xml:space="preserve"> </w:t>
      </w:r>
      <w:r w:rsidR="00F206FC" w:rsidRPr="002D4C88">
        <w:rPr>
          <w:sz w:val="20"/>
          <w:szCs w:val="20"/>
        </w:rPr>
        <w:t xml:space="preserve">Barack Obama was elected President </w:t>
      </w:r>
      <w:r w:rsidR="00F206FC" w:rsidRPr="002D4C88">
        <w:rPr>
          <w:rFonts w:cs="Times New Roman"/>
          <w:sz w:val="20"/>
          <w:szCs w:val="20"/>
        </w:rPr>
        <w:t>in November 2008</w:t>
      </w:r>
      <w:r w:rsidRPr="002D4C88">
        <w:rPr>
          <w:rFonts w:cs="Times New Roman"/>
          <w:sz w:val="20"/>
          <w:szCs w:val="20"/>
        </w:rPr>
        <w:t>, m</w:t>
      </w:r>
      <w:r w:rsidR="0028408D" w:rsidRPr="002D4C88">
        <w:rPr>
          <w:sz w:val="20"/>
          <w:szCs w:val="20"/>
        </w:rPr>
        <w:t>any of us revel</w:t>
      </w:r>
      <w:r w:rsidR="00256FA6" w:rsidRPr="002D4C88">
        <w:rPr>
          <w:sz w:val="20"/>
          <w:szCs w:val="20"/>
        </w:rPr>
        <w:t>ed</w:t>
      </w:r>
      <w:r w:rsidR="0028408D" w:rsidRPr="002D4C88">
        <w:rPr>
          <w:sz w:val="20"/>
          <w:szCs w:val="20"/>
        </w:rPr>
        <w:t xml:space="preserve"> in both its symbolism and </w:t>
      </w:r>
      <w:r w:rsidR="007F3F98" w:rsidRPr="002D4C88">
        <w:rPr>
          <w:sz w:val="20"/>
          <w:szCs w:val="20"/>
        </w:rPr>
        <w:t xml:space="preserve">in its </w:t>
      </w:r>
      <w:r w:rsidR="00696EDA" w:rsidRPr="002D4C88">
        <w:rPr>
          <w:sz w:val="20"/>
          <w:szCs w:val="20"/>
        </w:rPr>
        <w:t>implications for</w:t>
      </w:r>
      <w:r w:rsidR="00573AEE" w:rsidRPr="002D4C88">
        <w:rPr>
          <w:sz w:val="20"/>
          <w:szCs w:val="20"/>
        </w:rPr>
        <w:t xml:space="preserve"> minority </w:t>
      </w:r>
      <w:r w:rsidR="003302E9" w:rsidRPr="002D4C88">
        <w:rPr>
          <w:sz w:val="20"/>
          <w:szCs w:val="20"/>
        </w:rPr>
        <w:t xml:space="preserve">participation in </w:t>
      </w:r>
      <w:r w:rsidR="000E23AA" w:rsidRPr="002D4C88">
        <w:rPr>
          <w:sz w:val="20"/>
          <w:szCs w:val="20"/>
        </w:rPr>
        <w:t xml:space="preserve">American </w:t>
      </w:r>
      <w:r w:rsidR="003302E9" w:rsidRPr="002D4C88">
        <w:rPr>
          <w:sz w:val="20"/>
          <w:szCs w:val="20"/>
        </w:rPr>
        <w:t>elections</w:t>
      </w:r>
      <w:r w:rsidR="0028408D" w:rsidRPr="002D4C88">
        <w:rPr>
          <w:sz w:val="20"/>
          <w:szCs w:val="20"/>
        </w:rPr>
        <w:t>.</w:t>
      </w:r>
      <w:r w:rsidR="002B234F" w:rsidRPr="002D4C88">
        <w:rPr>
          <w:sz w:val="20"/>
          <w:szCs w:val="20"/>
        </w:rPr>
        <w:t xml:space="preserve"> </w:t>
      </w:r>
      <w:r w:rsidR="00641A10" w:rsidRPr="002D4C88">
        <w:rPr>
          <w:sz w:val="20"/>
          <w:szCs w:val="20"/>
        </w:rPr>
        <w:t xml:space="preserve"> It was the first presidential election with broad usage of </w:t>
      </w:r>
      <w:r w:rsidR="00DA321E" w:rsidRPr="002D4C88">
        <w:rPr>
          <w:sz w:val="20"/>
          <w:szCs w:val="20"/>
        </w:rPr>
        <w:t>turnout-</w:t>
      </w:r>
      <w:r w:rsidR="00641A10" w:rsidRPr="002D4C88">
        <w:rPr>
          <w:sz w:val="20"/>
          <w:szCs w:val="20"/>
        </w:rPr>
        <w:t xml:space="preserve">enhancing </w:t>
      </w:r>
      <w:r w:rsidR="006F75AD" w:rsidRPr="002D4C88">
        <w:rPr>
          <w:sz w:val="20"/>
          <w:szCs w:val="20"/>
        </w:rPr>
        <w:t xml:space="preserve">ballot access </w:t>
      </w:r>
      <w:r w:rsidR="00641A10" w:rsidRPr="002D4C88">
        <w:rPr>
          <w:sz w:val="20"/>
          <w:szCs w:val="20"/>
        </w:rPr>
        <w:t xml:space="preserve">reforms like early voting. </w:t>
      </w:r>
      <w:r w:rsidR="00D2551D" w:rsidRPr="002D4C88">
        <w:rPr>
          <w:sz w:val="20"/>
          <w:szCs w:val="20"/>
        </w:rPr>
        <w:t xml:space="preserve">While </w:t>
      </w:r>
      <w:r w:rsidR="00C64524" w:rsidRPr="002D4C88">
        <w:rPr>
          <w:sz w:val="20"/>
          <w:szCs w:val="20"/>
        </w:rPr>
        <w:t xml:space="preserve">a handful of state legislatures had proposed </w:t>
      </w:r>
      <w:r w:rsidR="00B02729" w:rsidRPr="002D4C88">
        <w:rPr>
          <w:sz w:val="20"/>
          <w:szCs w:val="20"/>
        </w:rPr>
        <w:t xml:space="preserve">strict or photo </w:t>
      </w:r>
      <w:r w:rsidR="00C64524" w:rsidRPr="002D4C88">
        <w:rPr>
          <w:sz w:val="20"/>
          <w:szCs w:val="20"/>
        </w:rPr>
        <w:t>voter ID laws</w:t>
      </w:r>
      <w:r w:rsidR="00BD4184" w:rsidRPr="002D4C88">
        <w:rPr>
          <w:sz w:val="20"/>
          <w:szCs w:val="20"/>
        </w:rPr>
        <w:t xml:space="preserve"> in the early 2000s</w:t>
      </w:r>
      <w:r w:rsidR="00C64524" w:rsidRPr="002D4C88">
        <w:rPr>
          <w:sz w:val="20"/>
          <w:szCs w:val="20"/>
        </w:rPr>
        <w:t xml:space="preserve">, it wasn’t until 2008 </w:t>
      </w:r>
      <w:r w:rsidR="00A879A9" w:rsidRPr="002D4C88">
        <w:rPr>
          <w:sz w:val="20"/>
          <w:szCs w:val="20"/>
        </w:rPr>
        <w:t>that</w:t>
      </w:r>
      <w:r w:rsidR="00C64524" w:rsidRPr="002D4C88">
        <w:rPr>
          <w:sz w:val="20"/>
          <w:szCs w:val="20"/>
        </w:rPr>
        <w:t xml:space="preserve"> the Supreme Court upheld their use</w:t>
      </w:r>
      <w:r w:rsidR="00A879A9" w:rsidRPr="002D4C88">
        <w:rPr>
          <w:sz w:val="20"/>
          <w:szCs w:val="20"/>
        </w:rPr>
        <w:t>-</w:t>
      </w:r>
      <w:r w:rsidR="007E6DBD" w:rsidRPr="002D4C88">
        <w:rPr>
          <w:sz w:val="20"/>
          <w:szCs w:val="20"/>
        </w:rPr>
        <w:t xml:space="preserve">and it was not clear that many </w:t>
      </w:r>
      <w:r w:rsidR="00CE7E84">
        <w:rPr>
          <w:sz w:val="20"/>
          <w:szCs w:val="20"/>
        </w:rPr>
        <w:t xml:space="preserve">states </w:t>
      </w:r>
      <w:r w:rsidR="007E6DBD" w:rsidRPr="002D4C88">
        <w:rPr>
          <w:sz w:val="20"/>
          <w:szCs w:val="20"/>
        </w:rPr>
        <w:t>would follow suit</w:t>
      </w:r>
      <w:r w:rsidR="00C64524" w:rsidRPr="002D4C88">
        <w:rPr>
          <w:sz w:val="20"/>
          <w:szCs w:val="20"/>
        </w:rPr>
        <w:t>.</w:t>
      </w:r>
      <w:r w:rsidR="00C45CF8" w:rsidRPr="002D4C88">
        <w:rPr>
          <w:rStyle w:val="FootnoteReference"/>
          <w:sz w:val="20"/>
          <w:szCs w:val="20"/>
        </w:rPr>
        <w:footnoteReference w:id="1"/>
      </w:r>
      <w:r w:rsidR="002176D4" w:rsidRPr="002D4C88">
        <w:rPr>
          <w:sz w:val="20"/>
          <w:szCs w:val="20"/>
        </w:rPr>
        <w:t xml:space="preserve"> </w:t>
      </w:r>
      <w:r w:rsidR="003B06D8" w:rsidRPr="002D4C88">
        <w:rPr>
          <w:sz w:val="20"/>
          <w:szCs w:val="20"/>
        </w:rPr>
        <w:t>W</w:t>
      </w:r>
      <w:r w:rsidR="00D2551D" w:rsidRPr="002D4C88">
        <w:rPr>
          <w:sz w:val="20"/>
          <w:szCs w:val="20"/>
        </w:rPr>
        <w:t xml:space="preserve">e </w:t>
      </w:r>
      <w:r w:rsidR="00CE7E84">
        <w:rPr>
          <w:sz w:val="20"/>
          <w:szCs w:val="20"/>
        </w:rPr>
        <w:t xml:space="preserve">therefore </w:t>
      </w:r>
      <w:r w:rsidR="00835033" w:rsidRPr="002D4C88">
        <w:rPr>
          <w:rFonts w:cs="Times New Roman"/>
          <w:sz w:val="20"/>
          <w:szCs w:val="20"/>
        </w:rPr>
        <w:t>focus</w:t>
      </w:r>
      <w:r w:rsidR="00CE7E84">
        <w:rPr>
          <w:rFonts w:cs="Times New Roman"/>
          <w:sz w:val="20"/>
          <w:szCs w:val="20"/>
        </w:rPr>
        <w:t>ed</w:t>
      </w:r>
      <w:r w:rsidR="00696EDA" w:rsidRPr="002D4C88">
        <w:rPr>
          <w:rFonts w:cs="Times New Roman"/>
          <w:sz w:val="20"/>
          <w:szCs w:val="20"/>
        </w:rPr>
        <w:t xml:space="preserve"> on </w:t>
      </w:r>
      <w:r w:rsidR="001D1D66">
        <w:rPr>
          <w:rFonts w:cs="Times New Roman"/>
          <w:sz w:val="20"/>
          <w:szCs w:val="20"/>
        </w:rPr>
        <w:t xml:space="preserve">supporting the development of </w:t>
      </w:r>
      <w:r w:rsidR="00696EDA" w:rsidRPr="002D4C88">
        <w:rPr>
          <w:rFonts w:cs="Times New Roman"/>
          <w:sz w:val="20"/>
          <w:szCs w:val="20"/>
        </w:rPr>
        <w:t>remedies to our</w:t>
      </w:r>
      <w:r w:rsidR="00F927D4" w:rsidRPr="002D4C88">
        <w:rPr>
          <w:rFonts w:cs="Times New Roman"/>
          <w:sz w:val="20"/>
          <w:szCs w:val="20"/>
        </w:rPr>
        <w:t xml:space="preserve"> antiquated</w:t>
      </w:r>
      <w:r w:rsidR="00350BC2" w:rsidRPr="002D4C88">
        <w:rPr>
          <w:rFonts w:cs="Times New Roman"/>
          <w:sz w:val="20"/>
          <w:szCs w:val="20"/>
        </w:rPr>
        <w:t>, labor-intensive</w:t>
      </w:r>
      <w:r w:rsidR="00A879A9" w:rsidRPr="002D4C88">
        <w:rPr>
          <w:rFonts w:cs="Times New Roman"/>
          <w:sz w:val="20"/>
          <w:szCs w:val="20"/>
        </w:rPr>
        <w:t>,</w:t>
      </w:r>
      <w:r w:rsidR="00350BC2" w:rsidRPr="002D4C88">
        <w:rPr>
          <w:rFonts w:cs="Times New Roman"/>
          <w:sz w:val="20"/>
          <w:szCs w:val="20"/>
        </w:rPr>
        <w:t xml:space="preserve"> </w:t>
      </w:r>
      <w:r w:rsidR="0058494D" w:rsidRPr="002D4C88">
        <w:rPr>
          <w:rFonts w:cs="Times New Roman"/>
          <w:sz w:val="20"/>
          <w:szCs w:val="20"/>
        </w:rPr>
        <w:t xml:space="preserve">paper-based </w:t>
      </w:r>
      <w:r w:rsidR="00F927D4" w:rsidRPr="002D4C88">
        <w:rPr>
          <w:rFonts w:cs="Times New Roman"/>
          <w:sz w:val="20"/>
          <w:szCs w:val="20"/>
        </w:rPr>
        <w:t>registration systems</w:t>
      </w:r>
      <w:r w:rsidR="00835033" w:rsidRPr="002D4C88">
        <w:rPr>
          <w:rFonts w:cs="Times New Roman"/>
          <w:sz w:val="20"/>
          <w:szCs w:val="20"/>
        </w:rPr>
        <w:t xml:space="preserve">, which </w:t>
      </w:r>
      <w:r w:rsidR="006145B6" w:rsidRPr="002D4C88">
        <w:rPr>
          <w:rFonts w:cs="Times New Roman"/>
          <w:sz w:val="20"/>
          <w:szCs w:val="20"/>
        </w:rPr>
        <w:t xml:space="preserve">had </w:t>
      </w:r>
      <w:r w:rsidR="00696EDA" w:rsidRPr="002D4C88">
        <w:rPr>
          <w:rFonts w:cs="Times New Roman"/>
          <w:sz w:val="20"/>
          <w:szCs w:val="20"/>
        </w:rPr>
        <w:t xml:space="preserve">undermined </w:t>
      </w:r>
      <w:r w:rsidR="006145B6" w:rsidRPr="002D4C88">
        <w:rPr>
          <w:rFonts w:cs="Times New Roman"/>
          <w:sz w:val="20"/>
          <w:szCs w:val="20"/>
        </w:rPr>
        <w:t>every election for decades</w:t>
      </w:r>
      <w:r w:rsidR="00835033" w:rsidRPr="002D4C88">
        <w:rPr>
          <w:rFonts w:cs="Times New Roman"/>
          <w:sz w:val="20"/>
          <w:szCs w:val="20"/>
        </w:rPr>
        <w:t xml:space="preserve">. </w:t>
      </w:r>
      <w:r w:rsidR="00651BEE" w:rsidRPr="002D4C88">
        <w:rPr>
          <w:rFonts w:cs="Times New Roman"/>
          <w:sz w:val="20"/>
          <w:szCs w:val="20"/>
        </w:rPr>
        <w:t>Despite the fact that v</w:t>
      </w:r>
      <w:r w:rsidR="00F927D4" w:rsidRPr="002D4C88">
        <w:rPr>
          <w:rFonts w:cs="Times New Roman"/>
          <w:sz w:val="20"/>
          <w:szCs w:val="20"/>
        </w:rPr>
        <w:t xml:space="preserve">oter registration lists are used to assign precincts, to send sample ballots, and to determine the </w:t>
      </w:r>
      <w:r w:rsidR="00651BEE" w:rsidRPr="002D4C88">
        <w:rPr>
          <w:rFonts w:cs="Times New Roman"/>
          <w:sz w:val="20"/>
          <w:szCs w:val="20"/>
        </w:rPr>
        <w:t xml:space="preserve">level </w:t>
      </w:r>
      <w:r w:rsidR="00F927D4" w:rsidRPr="002D4C88">
        <w:rPr>
          <w:rFonts w:cs="Times New Roman"/>
          <w:sz w:val="20"/>
          <w:szCs w:val="20"/>
        </w:rPr>
        <w:t xml:space="preserve">of resources </w:t>
      </w:r>
      <w:r w:rsidR="008A3E4B" w:rsidRPr="002D4C88">
        <w:rPr>
          <w:rFonts w:cs="Times New Roman"/>
          <w:sz w:val="20"/>
          <w:szCs w:val="20"/>
        </w:rPr>
        <w:t>needed at polling places</w:t>
      </w:r>
      <w:r w:rsidR="003A641F" w:rsidRPr="002D4C88">
        <w:rPr>
          <w:rFonts w:cs="Times New Roman"/>
          <w:sz w:val="20"/>
          <w:szCs w:val="20"/>
        </w:rPr>
        <w:t xml:space="preserve">, </w:t>
      </w:r>
      <w:r w:rsidR="00F927D4" w:rsidRPr="002D4C88">
        <w:rPr>
          <w:rFonts w:cs="Times New Roman"/>
          <w:sz w:val="20"/>
          <w:szCs w:val="20"/>
        </w:rPr>
        <w:t>registration systems are rife with errors and inefficiencies</w:t>
      </w:r>
      <w:r w:rsidR="00B517E9" w:rsidRPr="002D4C88">
        <w:rPr>
          <w:rFonts w:cs="Times New Roman"/>
          <w:sz w:val="20"/>
          <w:szCs w:val="20"/>
        </w:rPr>
        <w:t xml:space="preserve">, </w:t>
      </w:r>
      <w:r w:rsidR="009D74AC" w:rsidRPr="002D4C88">
        <w:rPr>
          <w:rFonts w:cs="Times New Roman"/>
          <w:sz w:val="20"/>
          <w:szCs w:val="20"/>
        </w:rPr>
        <w:t>resulting in millions of lost</w:t>
      </w:r>
      <w:r w:rsidR="004157BA" w:rsidRPr="002D4C88">
        <w:rPr>
          <w:rFonts w:cs="Times New Roman"/>
          <w:sz w:val="20"/>
          <w:szCs w:val="20"/>
        </w:rPr>
        <w:t xml:space="preserve"> votes each year. </w:t>
      </w:r>
      <w:r w:rsidR="00A879A9" w:rsidRPr="002D4C88">
        <w:rPr>
          <w:rFonts w:cs="Times New Roman"/>
          <w:sz w:val="20"/>
          <w:szCs w:val="20"/>
        </w:rPr>
        <w:t xml:space="preserve">This work seemed all the more urgent in light of withering assaults on private voter registration efforts. </w:t>
      </w:r>
      <w:r w:rsidR="0085129F" w:rsidRPr="002D4C88">
        <w:rPr>
          <w:rFonts w:cs="Times New Roman"/>
          <w:sz w:val="20"/>
          <w:szCs w:val="20"/>
        </w:rPr>
        <w:t>R</w:t>
      </w:r>
      <w:r w:rsidR="00F35C7C" w:rsidRPr="002D4C88">
        <w:rPr>
          <w:rFonts w:cs="Times New Roman"/>
          <w:sz w:val="20"/>
          <w:szCs w:val="20"/>
        </w:rPr>
        <w:t xml:space="preserve">egistration </w:t>
      </w:r>
      <w:r w:rsidR="004157BA" w:rsidRPr="002D4C88">
        <w:rPr>
          <w:rFonts w:cs="Times New Roman"/>
          <w:sz w:val="20"/>
          <w:szCs w:val="20"/>
        </w:rPr>
        <w:t>reform</w:t>
      </w:r>
      <w:r w:rsidR="0058494D" w:rsidRPr="002D4C88">
        <w:rPr>
          <w:rFonts w:cs="Times New Roman"/>
          <w:sz w:val="20"/>
          <w:szCs w:val="20"/>
        </w:rPr>
        <w:t xml:space="preserve"> </w:t>
      </w:r>
      <w:r w:rsidR="00A66504" w:rsidRPr="002D4C88">
        <w:rPr>
          <w:rFonts w:cs="Times New Roman"/>
          <w:sz w:val="20"/>
          <w:szCs w:val="20"/>
        </w:rPr>
        <w:t xml:space="preserve">also </w:t>
      </w:r>
      <w:r w:rsidR="00806E95" w:rsidRPr="002D4C88">
        <w:rPr>
          <w:rFonts w:cs="Times New Roman"/>
          <w:sz w:val="20"/>
          <w:szCs w:val="20"/>
        </w:rPr>
        <w:t xml:space="preserve">seemed </w:t>
      </w:r>
      <w:r w:rsidR="005A16D2" w:rsidRPr="002D4C88">
        <w:rPr>
          <w:rFonts w:cs="Times New Roman"/>
          <w:sz w:val="20"/>
          <w:szCs w:val="20"/>
        </w:rPr>
        <w:t>within reach</w:t>
      </w:r>
      <w:r w:rsidR="004C6D85" w:rsidRPr="002D4C88">
        <w:rPr>
          <w:rFonts w:cs="Times New Roman"/>
          <w:sz w:val="20"/>
          <w:szCs w:val="20"/>
        </w:rPr>
        <w:t xml:space="preserve">: </w:t>
      </w:r>
      <w:r w:rsidR="00F927D4" w:rsidRPr="002D4C88">
        <w:rPr>
          <w:rFonts w:cs="Times New Roman"/>
          <w:sz w:val="20"/>
          <w:szCs w:val="20"/>
        </w:rPr>
        <w:t>Democrats t</w:t>
      </w:r>
      <w:r w:rsidR="008102F5" w:rsidRPr="002D4C88">
        <w:rPr>
          <w:rFonts w:cs="Times New Roman"/>
          <w:sz w:val="20"/>
          <w:szCs w:val="20"/>
        </w:rPr>
        <w:t xml:space="preserve">raditionally support efforts </w:t>
      </w:r>
      <w:r w:rsidR="00B45C76" w:rsidRPr="002D4C88">
        <w:rPr>
          <w:rFonts w:cs="Times New Roman"/>
          <w:sz w:val="20"/>
          <w:szCs w:val="20"/>
        </w:rPr>
        <w:t xml:space="preserve">to </w:t>
      </w:r>
      <w:r w:rsidR="00F927D4" w:rsidRPr="002D4C88">
        <w:rPr>
          <w:rFonts w:cs="Times New Roman"/>
          <w:sz w:val="20"/>
          <w:szCs w:val="20"/>
        </w:rPr>
        <w:t>expand voter rolls, and many Republicans find an automated system attractive because it would eliminate the need for third parties</w:t>
      </w:r>
      <w:r w:rsidR="001D1D66">
        <w:rPr>
          <w:rFonts w:cs="Times New Roman"/>
          <w:sz w:val="20"/>
          <w:szCs w:val="20"/>
        </w:rPr>
        <w:t xml:space="preserve"> (</w:t>
      </w:r>
      <w:r w:rsidR="00F927D4" w:rsidRPr="002D4C88">
        <w:rPr>
          <w:rFonts w:cs="Times New Roman"/>
          <w:sz w:val="20"/>
          <w:szCs w:val="20"/>
        </w:rPr>
        <w:t xml:space="preserve">who </w:t>
      </w:r>
      <w:r w:rsidR="00187AFE" w:rsidRPr="002D4C88">
        <w:rPr>
          <w:rFonts w:cs="Times New Roman"/>
          <w:sz w:val="20"/>
          <w:szCs w:val="20"/>
        </w:rPr>
        <w:t xml:space="preserve">some </w:t>
      </w:r>
      <w:r w:rsidR="00986FAB" w:rsidRPr="002D4C88">
        <w:rPr>
          <w:rFonts w:cs="Times New Roman"/>
          <w:sz w:val="20"/>
          <w:szCs w:val="20"/>
        </w:rPr>
        <w:t>consider</w:t>
      </w:r>
      <w:r w:rsidR="00F927D4" w:rsidRPr="002D4C88">
        <w:rPr>
          <w:rFonts w:cs="Times New Roman"/>
          <w:sz w:val="20"/>
          <w:szCs w:val="20"/>
        </w:rPr>
        <w:t xml:space="preserve"> partisan</w:t>
      </w:r>
      <w:r w:rsidR="001D1D66">
        <w:rPr>
          <w:rFonts w:cs="Times New Roman"/>
          <w:sz w:val="20"/>
          <w:szCs w:val="20"/>
        </w:rPr>
        <w:t>)</w:t>
      </w:r>
      <w:r w:rsidR="00F927D4" w:rsidRPr="002D4C88">
        <w:rPr>
          <w:rFonts w:cs="Times New Roman"/>
          <w:sz w:val="20"/>
          <w:szCs w:val="20"/>
        </w:rPr>
        <w:t xml:space="preserve"> to register voters, and because automation would cost less and better protect the integrity of the rolls.</w:t>
      </w:r>
    </w:p>
    <w:p w:rsidR="00C13BC0" w:rsidRPr="002D4C88" w:rsidRDefault="00655FD8" w:rsidP="00C13BC0">
      <w:pPr>
        <w:rPr>
          <w:sz w:val="20"/>
          <w:szCs w:val="20"/>
        </w:rPr>
      </w:pPr>
      <w:r>
        <w:rPr>
          <w:rFonts w:cs="Times New Roman"/>
          <w:sz w:val="20"/>
          <w:szCs w:val="20"/>
        </w:rPr>
        <w:t xml:space="preserve">By 2009, there was a two part strategy: (1) </w:t>
      </w:r>
      <w:r w:rsidR="00B052E3" w:rsidRPr="002D4C88">
        <w:rPr>
          <w:rFonts w:cs="Times New Roman"/>
          <w:sz w:val="20"/>
          <w:szCs w:val="20"/>
        </w:rPr>
        <w:t xml:space="preserve">to </w:t>
      </w:r>
      <w:r w:rsidR="00A66504" w:rsidRPr="002D4C88">
        <w:rPr>
          <w:rFonts w:cs="Times New Roman"/>
          <w:sz w:val="20"/>
          <w:szCs w:val="20"/>
        </w:rPr>
        <w:t xml:space="preserve">move </w:t>
      </w:r>
      <w:r w:rsidR="00B052E3" w:rsidRPr="002D4C88">
        <w:rPr>
          <w:rFonts w:cs="Times New Roman"/>
          <w:sz w:val="20"/>
          <w:szCs w:val="20"/>
        </w:rPr>
        <w:t xml:space="preserve">a </w:t>
      </w:r>
      <w:r w:rsidR="00F927D4" w:rsidRPr="002D4C88">
        <w:rPr>
          <w:rFonts w:cs="Times New Roman"/>
          <w:sz w:val="20"/>
          <w:szCs w:val="20"/>
        </w:rPr>
        <w:t xml:space="preserve">national </w:t>
      </w:r>
      <w:r w:rsidR="00447409" w:rsidRPr="002D4C88">
        <w:rPr>
          <w:rFonts w:cs="Times New Roman"/>
          <w:sz w:val="20"/>
          <w:szCs w:val="20"/>
        </w:rPr>
        <w:t xml:space="preserve">policy </w:t>
      </w:r>
      <w:r w:rsidR="00F927D4" w:rsidRPr="002D4C88">
        <w:rPr>
          <w:rFonts w:cs="Times New Roman"/>
          <w:sz w:val="20"/>
          <w:szCs w:val="20"/>
        </w:rPr>
        <w:t>to modernize registration</w:t>
      </w:r>
      <w:r w:rsidR="007E7758" w:rsidRPr="002D4C88">
        <w:rPr>
          <w:rFonts w:cs="Times New Roman"/>
          <w:sz w:val="20"/>
          <w:szCs w:val="20"/>
        </w:rPr>
        <w:t>,</w:t>
      </w:r>
      <w:r w:rsidR="00F927D4" w:rsidRPr="002D4C88">
        <w:rPr>
          <w:rFonts w:cs="Times New Roman"/>
          <w:sz w:val="20"/>
          <w:szCs w:val="20"/>
        </w:rPr>
        <w:t xml:space="preserve"> a</w:t>
      </w:r>
      <w:r w:rsidR="00A66504" w:rsidRPr="002D4C88">
        <w:rPr>
          <w:rFonts w:cs="Times New Roman"/>
          <w:sz w:val="20"/>
          <w:szCs w:val="20"/>
        </w:rPr>
        <w:t xml:space="preserve">nd </w:t>
      </w:r>
      <w:r>
        <w:rPr>
          <w:rFonts w:cs="Times New Roman"/>
          <w:sz w:val="20"/>
          <w:szCs w:val="20"/>
        </w:rPr>
        <w:t xml:space="preserve">(2) to support </w:t>
      </w:r>
      <w:r w:rsidR="006761F5" w:rsidRPr="002D4C88">
        <w:rPr>
          <w:rFonts w:cs="Times New Roman"/>
          <w:sz w:val="20"/>
          <w:szCs w:val="20"/>
        </w:rPr>
        <w:t xml:space="preserve">a set of registration fixes for the states. </w:t>
      </w:r>
      <w:r w:rsidR="00F2017F" w:rsidRPr="002D4C88">
        <w:rPr>
          <w:rFonts w:cs="Times New Roman"/>
          <w:sz w:val="20"/>
          <w:szCs w:val="20"/>
        </w:rPr>
        <w:t xml:space="preserve">A </w:t>
      </w:r>
      <w:r w:rsidR="007A3AC3" w:rsidRPr="002D4C88">
        <w:rPr>
          <w:rFonts w:cs="Times New Roman"/>
          <w:sz w:val="20"/>
          <w:szCs w:val="20"/>
        </w:rPr>
        <w:t>core group</w:t>
      </w:r>
      <w:r w:rsidR="00F2017F" w:rsidRPr="002D4C88">
        <w:rPr>
          <w:rFonts w:cs="Times New Roman"/>
          <w:sz w:val="20"/>
          <w:szCs w:val="20"/>
        </w:rPr>
        <w:t xml:space="preserve"> of g</w:t>
      </w:r>
      <w:r w:rsidR="00673321" w:rsidRPr="002D4C88">
        <w:rPr>
          <w:rFonts w:eastAsia="Times New Roman"/>
          <w:sz w:val="20"/>
          <w:szCs w:val="20"/>
        </w:rPr>
        <w:t xml:space="preserve">rantees </w:t>
      </w:r>
      <w:r w:rsidR="00F2017F" w:rsidRPr="002D4C88">
        <w:rPr>
          <w:rFonts w:eastAsia="Times New Roman"/>
          <w:sz w:val="20"/>
          <w:szCs w:val="20"/>
        </w:rPr>
        <w:t xml:space="preserve">collaborated to move </w:t>
      </w:r>
      <w:r w:rsidR="00EE0ACB" w:rsidRPr="002D4C88">
        <w:rPr>
          <w:rFonts w:eastAsia="Times New Roman"/>
          <w:sz w:val="20"/>
          <w:szCs w:val="20"/>
        </w:rPr>
        <w:t xml:space="preserve">the </w:t>
      </w:r>
      <w:r w:rsidR="00F2017F" w:rsidRPr="002D4C88">
        <w:rPr>
          <w:rFonts w:eastAsia="Times New Roman"/>
          <w:sz w:val="20"/>
          <w:szCs w:val="20"/>
        </w:rPr>
        <w:t>national reform</w:t>
      </w:r>
      <w:r w:rsidR="007E7758" w:rsidRPr="002D4C88">
        <w:rPr>
          <w:rFonts w:eastAsia="Times New Roman"/>
          <w:sz w:val="20"/>
          <w:szCs w:val="20"/>
        </w:rPr>
        <w:t xml:space="preserve">, in </w:t>
      </w:r>
      <w:r w:rsidR="003A641F" w:rsidRPr="002D4C88">
        <w:rPr>
          <w:rFonts w:eastAsia="Times New Roman"/>
          <w:sz w:val="20"/>
          <w:szCs w:val="20"/>
        </w:rPr>
        <w:t xml:space="preserve">a </w:t>
      </w:r>
      <w:r w:rsidR="007E7758" w:rsidRPr="002D4C88">
        <w:rPr>
          <w:rFonts w:eastAsia="Times New Roman"/>
          <w:sz w:val="20"/>
          <w:szCs w:val="20"/>
        </w:rPr>
        <w:t>careful and bipartisan manner</w:t>
      </w:r>
      <w:r w:rsidR="00285CF9" w:rsidRPr="002D4C88">
        <w:rPr>
          <w:rFonts w:eastAsia="Times New Roman"/>
          <w:sz w:val="20"/>
          <w:szCs w:val="20"/>
        </w:rPr>
        <w:t>,</w:t>
      </w:r>
      <w:r w:rsidR="004C6D85" w:rsidRPr="002D4C88">
        <w:rPr>
          <w:rStyle w:val="FootnoteReference"/>
          <w:rFonts w:eastAsia="Times New Roman"/>
          <w:sz w:val="20"/>
          <w:szCs w:val="20"/>
        </w:rPr>
        <w:footnoteReference w:id="2"/>
      </w:r>
      <w:r w:rsidR="004C6D85" w:rsidRPr="002D4C88">
        <w:rPr>
          <w:rFonts w:eastAsia="Times New Roman"/>
          <w:sz w:val="20"/>
          <w:szCs w:val="20"/>
        </w:rPr>
        <w:t xml:space="preserve"> </w:t>
      </w:r>
      <w:r w:rsidR="00285CF9" w:rsidRPr="002D4C88">
        <w:rPr>
          <w:rFonts w:eastAsia="Times New Roman"/>
          <w:sz w:val="20"/>
          <w:szCs w:val="20"/>
        </w:rPr>
        <w:t xml:space="preserve">but </w:t>
      </w:r>
      <w:r w:rsidR="00285CF9" w:rsidRPr="002D4C88">
        <w:rPr>
          <w:rFonts w:cs="Times New Roman"/>
          <w:sz w:val="20"/>
          <w:szCs w:val="20"/>
        </w:rPr>
        <w:t>i</w:t>
      </w:r>
      <w:r w:rsidR="002110C2" w:rsidRPr="002D4C88">
        <w:rPr>
          <w:rFonts w:cs="Times New Roman"/>
          <w:sz w:val="20"/>
          <w:szCs w:val="20"/>
        </w:rPr>
        <w:t xml:space="preserve">n early 2010, </w:t>
      </w:r>
      <w:r w:rsidR="00285CF9" w:rsidRPr="002D4C88">
        <w:rPr>
          <w:rFonts w:cs="Times New Roman"/>
          <w:sz w:val="20"/>
          <w:szCs w:val="20"/>
        </w:rPr>
        <w:t xml:space="preserve">after coming </w:t>
      </w:r>
      <w:r w:rsidR="00B11A2F">
        <w:rPr>
          <w:rFonts w:cs="Times New Roman"/>
          <w:sz w:val="20"/>
          <w:szCs w:val="20"/>
        </w:rPr>
        <w:t xml:space="preserve">quite </w:t>
      </w:r>
      <w:r w:rsidR="002110C2" w:rsidRPr="002D4C88">
        <w:rPr>
          <w:rFonts w:cs="Times New Roman"/>
          <w:sz w:val="20"/>
          <w:szCs w:val="20"/>
        </w:rPr>
        <w:t>close</w:t>
      </w:r>
      <w:r w:rsidR="00285CF9" w:rsidRPr="002D4C88">
        <w:rPr>
          <w:rFonts w:cs="Times New Roman"/>
          <w:sz w:val="20"/>
          <w:szCs w:val="20"/>
        </w:rPr>
        <w:t xml:space="preserve">, that effort </w:t>
      </w:r>
      <w:r w:rsidR="002110C2" w:rsidRPr="002D4C88">
        <w:rPr>
          <w:rFonts w:cs="Times New Roman"/>
          <w:sz w:val="20"/>
          <w:szCs w:val="20"/>
        </w:rPr>
        <w:t>failed</w:t>
      </w:r>
      <w:r w:rsidR="00D06AFF" w:rsidRPr="002D4C88">
        <w:rPr>
          <w:rFonts w:cs="Times New Roman"/>
          <w:sz w:val="20"/>
          <w:szCs w:val="20"/>
        </w:rPr>
        <w:t>.</w:t>
      </w:r>
      <w:r w:rsidR="00D06AFF" w:rsidRPr="002D4C88">
        <w:rPr>
          <w:rStyle w:val="FootnoteReference"/>
          <w:rFonts w:cs="Times New Roman"/>
          <w:sz w:val="20"/>
          <w:szCs w:val="20"/>
        </w:rPr>
        <w:t xml:space="preserve"> </w:t>
      </w:r>
      <w:r w:rsidR="00885F33">
        <w:rPr>
          <w:rStyle w:val="FootnoteReference"/>
          <w:rFonts w:cs="Times New Roman"/>
          <w:sz w:val="20"/>
          <w:szCs w:val="20"/>
        </w:rPr>
        <w:t xml:space="preserve"> </w:t>
      </w:r>
      <w:r w:rsidR="00885F33">
        <w:rPr>
          <w:rFonts w:cs="Times New Roman"/>
          <w:sz w:val="20"/>
          <w:szCs w:val="20"/>
        </w:rPr>
        <w:t>St</w:t>
      </w:r>
      <w:r w:rsidR="00710992" w:rsidRPr="002D4C88">
        <w:rPr>
          <w:rFonts w:cs="Times New Roman"/>
          <w:sz w:val="20"/>
          <w:szCs w:val="20"/>
        </w:rPr>
        <w:t>ate</w:t>
      </w:r>
      <w:r w:rsidR="00885F33">
        <w:rPr>
          <w:rFonts w:cs="Times New Roman"/>
          <w:sz w:val="20"/>
          <w:szCs w:val="20"/>
        </w:rPr>
        <w:t>-</w:t>
      </w:r>
      <w:r w:rsidR="00710992" w:rsidRPr="002D4C88">
        <w:rPr>
          <w:rFonts w:cs="Times New Roman"/>
          <w:sz w:val="20"/>
          <w:szCs w:val="20"/>
        </w:rPr>
        <w:t xml:space="preserve"> level </w:t>
      </w:r>
      <w:r w:rsidR="00885F33">
        <w:rPr>
          <w:rFonts w:cs="Times New Roman"/>
          <w:sz w:val="20"/>
          <w:szCs w:val="20"/>
        </w:rPr>
        <w:t xml:space="preserve">efforts were coordinated by then-grantee </w:t>
      </w:r>
      <w:r w:rsidR="00403D99" w:rsidRPr="002D4C88">
        <w:rPr>
          <w:rFonts w:cs="Times New Roman"/>
          <w:sz w:val="20"/>
          <w:szCs w:val="20"/>
        </w:rPr>
        <w:t>Pew</w:t>
      </w:r>
      <w:r w:rsidR="00885F33">
        <w:rPr>
          <w:rFonts w:cs="Times New Roman"/>
          <w:sz w:val="20"/>
          <w:szCs w:val="20"/>
        </w:rPr>
        <w:t xml:space="preserve"> Center on the States and the Brennan Center. Pew</w:t>
      </w:r>
      <w:r w:rsidR="00F14402" w:rsidRPr="002D4C88">
        <w:rPr>
          <w:rFonts w:cs="Times New Roman"/>
          <w:sz w:val="20"/>
          <w:szCs w:val="20"/>
        </w:rPr>
        <w:t xml:space="preserve">, </w:t>
      </w:r>
      <w:r w:rsidR="00254839" w:rsidRPr="002D4C88">
        <w:rPr>
          <w:rFonts w:cs="Times New Roman"/>
          <w:sz w:val="20"/>
          <w:szCs w:val="20"/>
        </w:rPr>
        <w:t>working with IBM and Secretaries of State</w:t>
      </w:r>
      <w:r w:rsidR="00F14402" w:rsidRPr="002D4C88">
        <w:rPr>
          <w:rFonts w:cs="Times New Roman"/>
          <w:sz w:val="20"/>
          <w:szCs w:val="20"/>
        </w:rPr>
        <w:t xml:space="preserve">, </w:t>
      </w:r>
      <w:r w:rsidR="005E0E4D" w:rsidRPr="002D4C88">
        <w:rPr>
          <w:rFonts w:cs="Times New Roman"/>
          <w:sz w:val="20"/>
          <w:szCs w:val="20"/>
        </w:rPr>
        <w:t xml:space="preserve"> </w:t>
      </w:r>
      <w:r w:rsidR="00254839" w:rsidRPr="002D4C88">
        <w:rPr>
          <w:rFonts w:cs="Times New Roman"/>
          <w:sz w:val="20"/>
          <w:szCs w:val="20"/>
        </w:rPr>
        <w:t>de</w:t>
      </w:r>
      <w:r w:rsidR="00BE3381" w:rsidRPr="002D4C88">
        <w:rPr>
          <w:rFonts w:cs="Times New Roman"/>
          <w:sz w:val="20"/>
          <w:szCs w:val="20"/>
        </w:rPr>
        <w:t>sign</w:t>
      </w:r>
      <w:r w:rsidR="001801A6" w:rsidRPr="002D4C88">
        <w:rPr>
          <w:rFonts w:cs="Times New Roman"/>
          <w:sz w:val="20"/>
          <w:szCs w:val="20"/>
        </w:rPr>
        <w:t>ed</w:t>
      </w:r>
      <w:r w:rsidR="00254839" w:rsidRPr="002D4C88">
        <w:rPr>
          <w:rFonts w:cs="Times New Roman"/>
          <w:sz w:val="20"/>
          <w:szCs w:val="20"/>
        </w:rPr>
        <w:t xml:space="preserve"> </w:t>
      </w:r>
      <w:r w:rsidR="00612DA3" w:rsidRPr="002D4C88">
        <w:rPr>
          <w:rFonts w:cs="Times New Roman"/>
          <w:sz w:val="20"/>
          <w:szCs w:val="20"/>
        </w:rPr>
        <w:t xml:space="preserve">technology </w:t>
      </w:r>
      <w:r w:rsidR="00254839" w:rsidRPr="002D4C88">
        <w:rPr>
          <w:rFonts w:cs="Times New Roman"/>
          <w:sz w:val="20"/>
          <w:szCs w:val="20"/>
        </w:rPr>
        <w:t xml:space="preserve">that </w:t>
      </w:r>
      <w:r w:rsidR="00A46B3E" w:rsidRPr="002D4C88">
        <w:rPr>
          <w:rFonts w:cs="Times New Roman"/>
          <w:sz w:val="20"/>
          <w:szCs w:val="20"/>
        </w:rPr>
        <w:t>would allow</w:t>
      </w:r>
      <w:r w:rsidR="00254839" w:rsidRPr="002D4C88">
        <w:rPr>
          <w:rFonts w:cs="Times New Roman"/>
          <w:sz w:val="20"/>
          <w:szCs w:val="20"/>
        </w:rPr>
        <w:t xml:space="preserve"> election</w:t>
      </w:r>
      <w:r w:rsidR="00BE3381" w:rsidRPr="002D4C88">
        <w:rPr>
          <w:rFonts w:cs="Times New Roman"/>
          <w:sz w:val="20"/>
          <w:szCs w:val="20"/>
        </w:rPr>
        <w:t>s</w:t>
      </w:r>
      <w:r w:rsidR="00254839" w:rsidRPr="002D4C88">
        <w:rPr>
          <w:rFonts w:cs="Times New Roman"/>
          <w:sz w:val="20"/>
          <w:szCs w:val="20"/>
        </w:rPr>
        <w:t xml:space="preserve"> officials to update and manage their state v</w:t>
      </w:r>
      <w:r w:rsidR="00A46B3E" w:rsidRPr="002D4C88">
        <w:rPr>
          <w:rFonts w:cs="Times New Roman"/>
          <w:sz w:val="20"/>
          <w:szCs w:val="20"/>
        </w:rPr>
        <w:t>oter registration rolls with</w:t>
      </w:r>
      <w:r w:rsidR="00254839" w:rsidRPr="002D4C88">
        <w:rPr>
          <w:rFonts w:cs="Times New Roman"/>
          <w:sz w:val="20"/>
          <w:szCs w:val="20"/>
        </w:rPr>
        <w:t xml:space="preserve"> greater preci</w:t>
      </w:r>
      <w:r w:rsidR="00A46B3E" w:rsidRPr="002D4C88">
        <w:rPr>
          <w:rFonts w:cs="Times New Roman"/>
          <w:sz w:val="20"/>
          <w:szCs w:val="20"/>
        </w:rPr>
        <w:t>sion and accuracy</w:t>
      </w:r>
      <w:r w:rsidR="00254839" w:rsidRPr="002D4C88">
        <w:rPr>
          <w:rFonts w:cs="Times New Roman"/>
          <w:sz w:val="20"/>
          <w:szCs w:val="20"/>
        </w:rPr>
        <w:t>. Called the Electronic Registration Information Center</w:t>
      </w:r>
      <w:r w:rsidR="005E0E4D" w:rsidRPr="002D4C88">
        <w:rPr>
          <w:rFonts w:cs="Times New Roman"/>
          <w:sz w:val="20"/>
          <w:szCs w:val="20"/>
        </w:rPr>
        <w:t xml:space="preserve"> or</w:t>
      </w:r>
      <w:r w:rsidR="00254839" w:rsidRPr="002D4C88">
        <w:rPr>
          <w:rFonts w:cs="Times New Roman"/>
          <w:sz w:val="20"/>
          <w:szCs w:val="20"/>
        </w:rPr>
        <w:t xml:space="preserve"> </w:t>
      </w:r>
      <w:r w:rsidR="003E5F73" w:rsidRPr="002D4C88">
        <w:rPr>
          <w:rFonts w:cs="Times New Roman"/>
          <w:sz w:val="20"/>
          <w:szCs w:val="20"/>
        </w:rPr>
        <w:t>ERIC</w:t>
      </w:r>
      <w:r w:rsidR="005E0E4D" w:rsidRPr="002D4C88">
        <w:rPr>
          <w:rFonts w:cs="Times New Roman"/>
          <w:sz w:val="20"/>
          <w:szCs w:val="20"/>
        </w:rPr>
        <w:t>, it</w:t>
      </w:r>
      <w:r w:rsidR="00DA3B3B" w:rsidRPr="002D4C88">
        <w:rPr>
          <w:rFonts w:cs="Times New Roman"/>
          <w:sz w:val="20"/>
          <w:szCs w:val="20"/>
        </w:rPr>
        <w:t xml:space="preserve"> is now a financially sustainable independent organization with a formal board</w:t>
      </w:r>
      <w:r w:rsidR="00A26E1F" w:rsidRPr="002D4C88">
        <w:rPr>
          <w:rFonts w:cs="Times New Roman"/>
          <w:sz w:val="20"/>
          <w:szCs w:val="20"/>
        </w:rPr>
        <w:t>, and state members</w:t>
      </w:r>
      <w:r w:rsidR="00805AEF" w:rsidRPr="002D4C88">
        <w:rPr>
          <w:rFonts w:cs="Times New Roman"/>
          <w:sz w:val="20"/>
          <w:szCs w:val="20"/>
        </w:rPr>
        <w:t>.</w:t>
      </w:r>
      <w:r w:rsidR="00E734F6">
        <w:rPr>
          <w:rStyle w:val="FootnoteReference"/>
          <w:rFonts w:cs="Times New Roman"/>
          <w:sz w:val="20"/>
          <w:szCs w:val="20"/>
        </w:rPr>
        <w:footnoteReference w:id="3"/>
      </w:r>
      <w:r w:rsidR="00805AEF" w:rsidRPr="002D4C88">
        <w:rPr>
          <w:rFonts w:cs="Times New Roman"/>
          <w:sz w:val="20"/>
          <w:szCs w:val="20"/>
        </w:rPr>
        <w:t xml:space="preserve"> </w:t>
      </w:r>
      <w:r w:rsidR="001D6177" w:rsidRPr="002D4C88">
        <w:rPr>
          <w:rFonts w:cs="Times New Roman"/>
          <w:sz w:val="20"/>
          <w:szCs w:val="20"/>
        </w:rPr>
        <w:t>T</w:t>
      </w:r>
      <w:r w:rsidR="004937F3" w:rsidRPr="002D4C88">
        <w:rPr>
          <w:rFonts w:cs="Times New Roman"/>
          <w:sz w:val="20"/>
          <w:szCs w:val="20"/>
        </w:rPr>
        <w:t>he Brennan Center</w:t>
      </w:r>
      <w:r w:rsidR="005E0E4D" w:rsidRPr="002D4C88">
        <w:rPr>
          <w:rFonts w:cs="Times New Roman"/>
          <w:sz w:val="20"/>
          <w:szCs w:val="20"/>
        </w:rPr>
        <w:t xml:space="preserve"> develop</w:t>
      </w:r>
      <w:r w:rsidR="00F14402" w:rsidRPr="002D4C88">
        <w:rPr>
          <w:rFonts w:cs="Times New Roman"/>
          <w:sz w:val="20"/>
          <w:szCs w:val="20"/>
        </w:rPr>
        <w:t>ed</w:t>
      </w:r>
      <w:r w:rsidR="005E0E4D" w:rsidRPr="002D4C88">
        <w:rPr>
          <w:rFonts w:cs="Times New Roman"/>
          <w:sz w:val="20"/>
          <w:szCs w:val="20"/>
        </w:rPr>
        <w:t xml:space="preserve"> a </w:t>
      </w:r>
      <w:r w:rsidR="00114A7E" w:rsidRPr="002D4C88">
        <w:rPr>
          <w:rFonts w:cs="Times New Roman"/>
          <w:sz w:val="20"/>
          <w:szCs w:val="20"/>
        </w:rPr>
        <w:t xml:space="preserve">set of </w:t>
      </w:r>
      <w:r w:rsidR="00885F33">
        <w:rPr>
          <w:rFonts w:cs="Times New Roman"/>
          <w:sz w:val="20"/>
          <w:szCs w:val="20"/>
        </w:rPr>
        <w:t xml:space="preserve">model policies </w:t>
      </w:r>
      <w:r w:rsidR="005E0E4D" w:rsidRPr="002D4C88">
        <w:rPr>
          <w:rFonts w:cs="Times New Roman"/>
          <w:sz w:val="20"/>
          <w:szCs w:val="20"/>
        </w:rPr>
        <w:t>states</w:t>
      </w:r>
      <w:r w:rsidR="00114A7E" w:rsidRPr="002D4C88">
        <w:rPr>
          <w:rFonts w:cs="Times New Roman"/>
          <w:sz w:val="20"/>
          <w:szCs w:val="20"/>
        </w:rPr>
        <w:t xml:space="preserve"> could </w:t>
      </w:r>
      <w:r w:rsidR="00885F33">
        <w:rPr>
          <w:rFonts w:cs="Times New Roman"/>
          <w:sz w:val="20"/>
          <w:szCs w:val="20"/>
        </w:rPr>
        <w:t>adopt</w:t>
      </w:r>
      <w:r w:rsidR="00F14402" w:rsidRPr="002D4C88">
        <w:rPr>
          <w:rFonts w:cs="Times New Roman"/>
          <w:sz w:val="20"/>
          <w:szCs w:val="20"/>
        </w:rPr>
        <w:t xml:space="preserve">, </w:t>
      </w:r>
      <w:r w:rsidR="002F26EB" w:rsidRPr="002D4C88">
        <w:rPr>
          <w:rFonts w:cs="Times New Roman"/>
          <w:sz w:val="20"/>
          <w:szCs w:val="20"/>
        </w:rPr>
        <w:t xml:space="preserve">which would make </w:t>
      </w:r>
      <w:r w:rsidR="00682AE1" w:rsidRPr="002D4C88">
        <w:rPr>
          <w:rFonts w:cs="Times New Roman"/>
          <w:sz w:val="20"/>
          <w:szCs w:val="20"/>
        </w:rPr>
        <w:t xml:space="preserve">registration </w:t>
      </w:r>
      <w:r w:rsidR="00E14C98" w:rsidRPr="002D4C88">
        <w:rPr>
          <w:rFonts w:cs="Times New Roman"/>
          <w:sz w:val="20"/>
          <w:szCs w:val="20"/>
        </w:rPr>
        <w:t xml:space="preserve">both </w:t>
      </w:r>
      <w:r w:rsidR="002F26EB" w:rsidRPr="002D4C88">
        <w:rPr>
          <w:rFonts w:cs="Times New Roman"/>
          <w:sz w:val="20"/>
          <w:szCs w:val="20"/>
        </w:rPr>
        <w:t>a</w:t>
      </w:r>
      <w:r w:rsidR="00682AE1" w:rsidRPr="002D4C88">
        <w:rPr>
          <w:rFonts w:cs="Times New Roman"/>
          <w:sz w:val="20"/>
          <w:szCs w:val="20"/>
        </w:rPr>
        <w:t>utomatic and permanent</w:t>
      </w:r>
      <w:r w:rsidR="001D1D66">
        <w:rPr>
          <w:rFonts w:cs="Times New Roman"/>
          <w:sz w:val="20"/>
          <w:szCs w:val="20"/>
        </w:rPr>
        <w:t>,</w:t>
      </w:r>
      <w:r w:rsidR="008D4551" w:rsidRPr="002D4C88">
        <w:rPr>
          <w:rStyle w:val="FootnoteReference"/>
          <w:rFonts w:cs="Times New Roman"/>
          <w:sz w:val="20"/>
          <w:szCs w:val="20"/>
        </w:rPr>
        <w:footnoteReference w:id="4"/>
      </w:r>
      <w:r w:rsidR="001D1D66">
        <w:rPr>
          <w:rFonts w:cs="Times New Roman"/>
          <w:sz w:val="20"/>
          <w:szCs w:val="20"/>
        </w:rPr>
        <w:t xml:space="preserve"> and that, i</w:t>
      </w:r>
      <w:r w:rsidR="00F14402" w:rsidRPr="002D4C88">
        <w:rPr>
          <w:rFonts w:cs="Times New Roman"/>
          <w:sz w:val="20"/>
          <w:szCs w:val="20"/>
        </w:rPr>
        <w:t xml:space="preserve">f </w:t>
      </w:r>
      <w:r w:rsidR="00D06AFF" w:rsidRPr="002D4C88">
        <w:rPr>
          <w:rFonts w:cs="Times New Roman"/>
          <w:sz w:val="20"/>
          <w:szCs w:val="20"/>
        </w:rPr>
        <w:t xml:space="preserve">fully adopted, </w:t>
      </w:r>
      <w:r w:rsidR="00F14402" w:rsidRPr="002D4C88">
        <w:rPr>
          <w:rFonts w:cs="Times New Roman"/>
          <w:sz w:val="20"/>
          <w:szCs w:val="20"/>
        </w:rPr>
        <w:t xml:space="preserve">would </w:t>
      </w:r>
      <w:r w:rsidR="00805AEF" w:rsidRPr="002D4C88">
        <w:rPr>
          <w:rFonts w:cs="Times New Roman"/>
          <w:sz w:val="20"/>
          <w:szCs w:val="20"/>
        </w:rPr>
        <w:t xml:space="preserve">add </w:t>
      </w:r>
      <w:r w:rsidR="00D62E4B" w:rsidRPr="002D4C88">
        <w:rPr>
          <w:rFonts w:cs="Times New Roman"/>
          <w:sz w:val="20"/>
          <w:szCs w:val="20"/>
        </w:rPr>
        <w:t xml:space="preserve">the </w:t>
      </w:r>
      <w:r w:rsidR="007A3AC3" w:rsidRPr="002D4C88">
        <w:rPr>
          <w:rFonts w:cs="Times New Roman"/>
          <w:sz w:val="20"/>
          <w:szCs w:val="20"/>
        </w:rPr>
        <w:t xml:space="preserve">approximately </w:t>
      </w:r>
      <w:r w:rsidR="00D67F97" w:rsidRPr="002D4C88">
        <w:rPr>
          <w:rFonts w:cs="Times New Roman"/>
          <w:sz w:val="20"/>
          <w:szCs w:val="20"/>
        </w:rPr>
        <w:t>6</w:t>
      </w:r>
      <w:r w:rsidR="001055A2" w:rsidRPr="002D4C88">
        <w:rPr>
          <w:rFonts w:cs="Times New Roman"/>
          <w:sz w:val="20"/>
          <w:szCs w:val="20"/>
        </w:rPr>
        <w:t>0</w:t>
      </w:r>
      <w:r w:rsidR="00805AEF" w:rsidRPr="002D4C88">
        <w:rPr>
          <w:rFonts w:cs="Times New Roman"/>
          <w:sz w:val="20"/>
          <w:szCs w:val="20"/>
        </w:rPr>
        <w:t xml:space="preserve"> million</w:t>
      </w:r>
      <w:r w:rsidR="00D67F97" w:rsidRPr="002D4C88">
        <w:rPr>
          <w:rFonts w:cs="Times New Roman"/>
          <w:sz w:val="20"/>
          <w:szCs w:val="20"/>
        </w:rPr>
        <w:t xml:space="preserve"> eligi</w:t>
      </w:r>
      <w:r w:rsidR="00D62E4B" w:rsidRPr="002D4C88">
        <w:rPr>
          <w:rFonts w:cs="Times New Roman"/>
          <w:sz w:val="20"/>
          <w:szCs w:val="20"/>
        </w:rPr>
        <w:t>ble but unregistered</w:t>
      </w:r>
      <w:r w:rsidR="007A3AC3" w:rsidRPr="002D4C88">
        <w:rPr>
          <w:rFonts w:cs="Times New Roman"/>
          <w:sz w:val="20"/>
          <w:szCs w:val="20"/>
        </w:rPr>
        <w:t xml:space="preserve"> citizens</w:t>
      </w:r>
      <w:r w:rsidR="001D1D66">
        <w:rPr>
          <w:rFonts w:cs="Times New Roman"/>
          <w:sz w:val="20"/>
          <w:szCs w:val="20"/>
        </w:rPr>
        <w:t xml:space="preserve"> to the rolls</w:t>
      </w:r>
      <w:r w:rsidR="001055A2" w:rsidRPr="002D4C88">
        <w:rPr>
          <w:rFonts w:cs="Times New Roman"/>
          <w:sz w:val="20"/>
          <w:szCs w:val="20"/>
        </w:rPr>
        <w:t>,</w:t>
      </w:r>
      <w:r w:rsidR="009F1536" w:rsidRPr="002D4C88">
        <w:rPr>
          <w:rFonts w:cs="Times New Roman"/>
          <w:sz w:val="20"/>
          <w:szCs w:val="20"/>
        </w:rPr>
        <w:t xml:space="preserve"> </w:t>
      </w:r>
      <w:r w:rsidR="00805AEF" w:rsidRPr="002D4C88">
        <w:rPr>
          <w:rFonts w:cs="Times New Roman"/>
          <w:sz w:val="20"/>
          <w:szCs w:val="20"/>
        </w:rPr>
        <w:t xml:space="preserve">cost less and curb </w:t>
      </w:r>
      <w:r w:rsidR="00E14C98" w:rsidRPr="002D4C88">
        <w:rPr>
          <w:rFonts w:cs="Times New Roman"/>
          <w:sz w:val="20"/>
          <w:szCs w:val="20"/>
        </w:rPr>
        <w:t>any</w:t>
      </w:r>
      <w:r w:rsidR="00805AEF" w:rsidRPr="002D4C88">
        <w:rPr>
          <w:rFonts w:cs="Times New Roman"/>
          <w:sz w:val="20"/>
          <w:szCs w:val="20"/>
        </w:rPr>
        <w:t xml:space="preserve"> potential for fraud. </w:t>
      </w:r>
      <w:r w:rsidR="00F14402" w:rsidRPr="002D4C88">
        <w:rPr>
          <w:rFonts w:cs="Times New Roman"/>
          <w:sz w:val="20"/>
          <w:szCs w:val="20"/>
        </w:rPr>
        <w:t xml:space="preserve"> </w:t>
      </w:r>
      <w:r w:rsidR="00E533BA" w:rsidRPr="002D4C88">
        <w:rPr>
          <w:rFonts w:cs="Times New Roman"/>
          <w:sz w:val="20"/>
          <w:szCs w:val="20"/>
        </w:rPr>
        <w:t xml:space="preserve">Brennan helped move </w:t>
      </w:r>
      <w:r w:rsidR="0005067C" w:rsidRPr="002D4C88">
        <w:rPr>
          <w:rFonts w:cs="Times New Roman"/>
          <w:sz w:val="20"/>
          <w:szCs w:val="20"/>
        </w:rPr>
        <w:t xml:space="preserve">important </w:t>
      </w:r>
      <w:r w:rsidR="00E533BA" w:rsidRPr="002D4C88">
        <w:rPr>
          <w:rFonts w:cs="Times New Roman"/>
          <w:sz w:val="20"/>
          <w:szCs w:val="20"/>
        </w:rPr>
        <w:t xml:space="preserve">elements of that plan in </w:t>
      </w:r>
      <w:r w:rsidR="001D6177" w:rsidRPr="002D4C88">
        <w:rPr>
          <w:rFonts w:cs="Times New Roman"/>
          <w:sz w:val="20"/>
          <w:szCs w:val="20"/>
        </w:rPr>
        <w:t xml:space="preserve">dozens of </w:t>
      </w:r>
      <w:r w:rsidR="00E533BA" w:rsidRPr="002D4C88">
        <w:rPr>
          <w:rFonts w:cs="Times New Roman"/>
          <w:sz w:val="20"/>
          <w:szCs w:val="20"/>
        </w:rPr>
        <w:t>states,</w:t>
      </w:r>
      <w:r w:rsidR="001D1D66">
        <w:rPr>
          <w:rFonts w:cs="Times New Roman"/>
          <w:sz w:val="20"/>
          <w:szCs w:val="20"/>
        </w:rPr>
        <w:t xml:space="preserve"> </w:t>
      </w:r>
      <w:r w:rsidR="00E533BA" w:rsidRPr="002D4C88">
        <w:rPr>
          <w:rFonts w:cs="Times New Roman"/>
          <w:sz w:val="20"/>
          <w:szCs w:val="20"/>
        </w:rPr>
        <w:t>through research and strategic</w:t>
      </w:r>
      <w:r w:rsidR="00D4328A" w:rsidRPr="002D4C88">
        <w:rPr>
          <w:rFonts w:cs="Times New Roman"/>
          <w:sz w:val="20"/>
          <w:szCs w:val="20"/>
        </w:rPr>
        <w:t xml:space="preserve"> </w:t>
      </w:r>
      <w:r w:rsidR="00E533BA" w:rsidRPr="002D4C88">
        <w:rPr>
          <w:rFonts w:cs="Times New Roman"/>
          <w:sz w:val="20"/>
          <w:szCs w:val="20"/>
        </w:rPr>
        <w:t>communications support</w:t>
      </w:r>
      <w:r w:rsidR="00825D5A" w:rsidRPr="002D4C88">
        <w:rPr>
          <w:rFonts w:cs="Times New Roman"/>
          <w:sz w:val="20"/>
          <w:szCs w:val="20"/>
        </w:rPr>
        <w:t>, and legislative and administrative assistance and advocacy</w:t>
      </w:r>
      <w:r w:rsidR="008B5C9F" w:rsidRPr="002D4C88">
        <w:rPr>
          <w:rFonts w:cs="Times New Roman"/>
          <w:sz w:val="20"/>
          <w:szCs w:val="20"/>
        </w:rPr>
        <w:t>.</w:t>
      </w:r>
      <w:r w:rsidR="00E533BA" w:rsidRPr="002D4C88">
        <w:rPr>
          <w:rStyle w:val="FootnoteReference"/>
          <w:rFonts w:cs="Times New Roman"/>
          <w:sz w:val="20"/>
          <w:szCs w:val="20"/>
        </w:rPr>
        <w:footnoteReference w:id="5"/>
      </w:r>
      <w:r w:rsidR="007519A6" w:rsidRPr="002D4C88">
        <w:rPr>
          <w:rFonts w:cs="Times New Roman"/>
          <w:sz w:val="20"/>
          <w:szCs w:val="20"/>
        </w:rPr>
        <w:t xml:space="preserve"> </w:t>
      </w:r>
      <w:r w:rsidR="00E533BA" w:rsidRPr="002D4C88">
        <w:rPr>
          <w:rFonts w:cs="Times New Roman"/>
          <w:sz w:val="20"/>
          <w:szCs w:val="20"/>
        </w:rPr>
        <w:t xml:space="preserve"> </w:t>
      </w:r>
    </w:p>
    <w:p w:rsidR="00037049" w:rsidRPr="00037049" w:rsidRDefault="003220F7" w:rsidP="005D7590">
      <w:pPr>
        <w:rPr>
          <w:b/>
          <w:sz w:val="20"/>
          <w:szCs w:val="20"/>
        </w:rPr>
      </w:pPr>
      <w:r w:rsidRPr="002D4C88">
        <w:rPr>
          <w:rFonts w:cs="Times New Roman"/>
          <w:sz w:val="20"/>
          <w:szCs w:val="20"/>
        </w:rPr>
        <w:t>While s</w:t>
      </w:r>
      <w:r w:rsidR="00500C9C" w:rsidRPr="002D4C88">
        <w:rPr>
          <w:rFonts w:cs="Times New Roman"/>
          <w:sz w:val="20"/>
          <w:szCs w:val="20"/>
        </w:rPr>
        <w:t>upport</w:t>
      </w:r>
      <w:r w:rsidR="00DD01FA" w:rsidRPr="002D4C88">
        <w:rPr>
          <w:rFonts w:cs="Times New Roman"/>
          <w:sz w:val="20"/>
          <w:szCs w:val="20"/>
        </w:rPr>
        <w:t>ing</w:t>
      </w:r>
      <w:r w:rsidR="00500C9C" w:rsidRPr="002D4C88">
        <w:rPr>
          <w:rFonts w:cs="Times New Roman"/>
          <w:sz w:val="20"/>
          <w:szCs w:val="20"/>
        </w:rPr>
        <w:t xml:space="preserve"> efforts</w:t>
      </w:r>
      <w:r w:rsidRPr="002D4C88">
        <w:rPr>
          <w:rFonts w:cs="Times New Roman"/>
          <w:sz w:val="20"/>
          <w:szCs w:val="20"/>
        </w:rPr>
        <w:t xml:space="preserve"> to </w:t>
      </w:r>
      <w:r w:rsidR="00500C9C" w:rsidRPr="002D4C88">
        <w:rPr>
          <w:rFonts w:cs="Times New Roman"/>
          <w:sz w:val="20"/>
          <w:szCs w:val="20"/>
        </w:rPr>
        <w:t xml:space="preserve">modernize </w:t>
      </w:r>
      <w:r w:rsidRPr="002D4C88">
        <w:rPr>
          <w:rFonts w:cs="Times New Roman"/>
          <w:sz w:val="20"/>
          <w:szCs w:val="20"/>
        </w:rPr>
        <w:t>registration systems, we also supported work to</w:t>
      </w:r>
      <w:r w:rsidR="00AF12C8" w:rsidRPr="002D4C88">
        <w:rPr>
          <w:rFonts w:cs="Times New Roman"/>
          <w:sz w:val="20"/>
          <w:szCs w:val="20"/>
        </w:rPr>
        <w:t xml:space="preserve"> lower barriers to registration</w:t>
      </w:r>
      <w:r w:rsidRPr="002D4C88">
        <w:rPr>
          <w:rFonts w:cs="Times New Roman"/>
          <w:sz w:val="20"/>
          <w:szCs w:val="20"/>
        </w:rPr>
        <w:t xml:space="preserve"> within the existing framework</w:t>
      </w:r>
      <w:r w:rsidR="00713A70" w:rsidRPr="002D4C88">
        <w:rPr>
          <w:rFonts w:cs="Times New Roman"/>
          <w:sz w:val="20"/>
          <w:szCs w:val="20"/>
        </w:rPr>
        <w:t>, especially for low-income voters</w:t>
      </w:r>
      <w:r w:rsidRPr="002D4C88">
        <w:rPr>
          <w:rFonts w:cs="Times New Roman"/>
          <w:sz w:val="20"/>
          <w:szCs w:val="20"/>
        </w:rPr>
        <w:t xml:space="preserve">. </w:t>
      </w:r>
      <w:r w:rsidR="00E65F73" w:rsidRPr="002D4C88">
        <w:rPr>
          <w:rFonts w:cs="Times New Roman"/>
          <w:sz w:val="20"/>
          <w:szCs w:val="20"/>
        </w:rPr>
        <w:t>We saw t</w:t>
      </w:r>
      <w:r w:rsidR="002C4851" w:rsidRPr="002D4C88">
        <w:rPr>
          <w:rFonts w:cs="Times New Roman"/>
          <w:sz w:val="20"/>
          <w:szCs w:val="20"/>
        </w:rPr>
        <w:t xml:space="preserve">his work as more </w:t>
      </w:r>
      <w:r w:rsidR="00DC4E22" w:rsidRPr="002D4C88">
        <w:rPr>
          <w:rFonts w:cs="Times New Roman"/>
          <w:sz w:val="20"/>
          <w:szCs w:val="20"/>
        </w:rPr>
        <w:t xml:space="preserve">lasting </w:t>
      </w:r>
      <w:r w:rsidR="002C4851" w:rsidRPr="002D4C88">
        <w:rPr>
          <w:rFonts w:cs="Times New Roman"/>
          <w:sz w:val="20"/>
          <w:szCs w:val="20"/>
        </w:rPr>
        <w:t xml:space="preserve">and cost effective than </w:t>
      </w:r>
      <w:r w:rsidR="00DC4E22" w:rsidRPr="002D4C88">
        <w:rPr>
          <w:rFonts w:cs="Times New Roman"/>
          <w:sz w:val="20"/>
          <w:szCs w:val="20"/>
        </w:rPr>
        <w:t>(</w:t>
      </w:r>
      <w:r w:rsidR="00EB6A6A" w:rsidRPr="002D4C88">
        <w:rPr>
          <w:rFonts w:cs="Times New Roman"/>
          <w:sz w:val="20"/>
          <w:szCs w:val="20"/>
        </w:rPr>
        <w:t>imperiled</w:t>
      </w:r>
      <w:r w:rsidR="00DC4E22" w:rsidRPr="002D4C88">
        <w:rPr>
          <w:rFonts w:cs="Times New Roman"/>
          <w:sz w:val="20"/>
          <w:szCs w:val="20"/>
        </w:rPr>
        <w:t>)</w:t>
      </w:r>
      <w:r w:rsidR="00EB6A6A" w:rsidRPr="002D4C88">
        <w:rPr>
          <w:rFonts w:cs="Times New Roman"/>
          <w:sz w:val="20"/>
          <w:szCs w:val="20"/>
        </w:rPr>
        <w:t xml:space="preserve"> </w:t>
      </w:r>
      <w:r w:rsidR="002C4851" w:rsidRPr="002D4C88">
        <w:rPr>
          <w:rFonts w:cs="Times New Roman"/>
          <w:sz w:val="20"/>
          <w:szCs w:val="20"/>
        </w:rPr>
        <w:t>third-party voter registration drives</w:t>
      </w:r>
      <w:r w:rsidR="007F712D" w:rsidRPr="002D4C88">
        <w:rPr>
          <w:rFonts w:cs="Times New Roman"/>
          <w:sz w:val="20"/>
          <w:szCs w:val="20"/>
        </w:rPr>
        <w:t>,</w:t>
      </w:r>
      <w:r w:rsidR="002C4851" w:rsidRPr="002D4C88">
        <w:rPr>
          <w:rFonts w:cs="Times New Roman"/>
          <w:sz w:val="20"/>
          <w:szCs w:val="20"/>
        </w:rPr>
        <w:t xml:space="preserve"> because it leveraged government agencies to </w:t>
      </w:r>
      <w:r w:rsidR="00DC4E22" w:rsidRPr="002D4C88">
        <w:rPr>
          <w:rFonts w:cs="Times New Roman"/>
          <w:sz w:val="20"/>
          <w:szCs w:val="20"/>
        </w:rPr>
        <w:lastRenderedPageBreak/>
        <w:t>directly register</w:t>
      </w:r>
      <w:r w:rsidR="00010742" w:rsidRPr="002D4C88">
        <w:rPr>
          <w:rFonts w:cs="Times New Roman"/>
          <w:sz w:val="20"/>
          <w:szCs w:val="20"/>
        </w:rPr>
        <w:t xml:space="preserve"> </w:t>
      </w:r>
      <w:r w:rsidR="00DB4598" w:rsidRPr="002D4C88">
        <w:rPr>
          <w:rFonts w:cs="Times New Roman"/>
          <w:sz w:val="20"/>
          <w:szCs w:val="20"/>
        </w:rPr>
        <w:t>the voters</w:t>
      </w:r>
      <w:r w:rsidR="00DC4E22" w:rsidRPr="002D4C88">
        <w:rPr>
          <w:rFonts w:cs="Times New Roman"/>
          <w:sz w:val="20"/>
          <w:szCs w:val="20"/>
        </w:rPr>
        <w:t>, and to do so</w:t>
      </w:r>
      <w:r w:rsidR="002C4851" w:rsidRPr="002D4C88">
        <w:rPr>
          <w:rFonts w:cs="Times New Roman"/>
          <w:sz w:val="20"/>
          <w:szCs w:val="20"/>
        </w:rPr>
        <w:t xml:space="preserve"> </w:t>
      </w:r>
      <w:r w:rsidR="00343C46" w:rsidRPr="002D4C88">
        <w:rPr>
          <w:rFonts w:cs="Times New Roman"/>
          <w:sz w:val="20"/>
          <w:szCs w:val="20"/>
        </w:rPr>
        <w:t>on an ongoing basis</w:t>
      </w:r>
      <w:r w:rsidR="002C4851" w:rsidRPr="002D4C88">
        <w:rPr>
          <w:rFonts w:cs="Times New Roman"/>
          <w:sz w:val="20"/>
          <w:szCs w:val="20"/>
        </w:rPr>
        <w:t>.</w:t>
      </w:r>
      <w:r w:rsidR="00EB6A6A" w:rsidRPr="002D4C88">
        <w:rPr>
          <w:rFonts w:cs="Times New Roman"/>
          <w:sz w:val="20"/>
          <w:szCs w:val="20"/>
        </w:rPr>
        <w:t xml:space="preserve"> </w:t>
      </w:r>
      <w:r w:rsidR="00AE63D2" w:rsidRPr="002D4C88">
        <w:rPr>
          <w:rFonts w:cs="Times New Roman"/>
          <w:sz w:val="20"/>
          <w:szCs w:val="20"/>
        </w:rPr>
        <w:t>While pressing the D</w:t>
      </w:r>
      <w:r w:rsidR="00010742" w:rsidRPr="002D4C88">
        <w:rPr>
          <w:rFonts w:cs="Times New Roman"/>
          <w:sz w:val="20"/>
          <w:szCs w:val="20"/>
        </w:rPr>
        <w:t xml:space="preserve">epartment of Justice to </w:t>
      </w:r>
      <w:r w:rsidR="00EC4591">
        <w:rPr>
          <w:rFonts w:cs="Times New Roman"/>
          <w:sz w:val="20"/>
          <w:szCs w:val="20"/>
        </w:rPr>
        <w:t>enhance enforcement of</w:t>
      </w:r>
      <w:r w:rsidR="00010742" w:rsidRPr="002D4C88">
        <w:rPr>
          <w:rFonts w:cs="Times New Roman"/>
          <w:sz w:val="20"/>
          <w:szCs w:val="20"/>
        </w:rPr>
        <w:t xml:space="preserve"> </w:t>
      </w:r>
      <w:r w:rsidR="00A656C2" w:rsidRPr="002D4C88">
        <w:rPr>
          <w:rFonts w:cs="Times New Roman"/>
          <w:sz w:val="20"/>
          <w:szCs w:val="20"/>
        </w:rPr>
        <w:t xml:space="preserve">Section 7 of </w:t>
      </w:r>
      <w:r w:rsidR="00403D99" w:rsidRPr="002D4C88">
        <w:rPr>
          <w:rFonts w:cs="Times New Roman"/>
          <w:sz w:val="20"/>
          <w:szCs w:val="20"/>
        </w:rPr>
        <w:t xml:space="preserve">the </w:t>
      </w:r>
      <w:r w:rsidR="00A656C2" w:rsidRPr="002D4C88">
        <w:rPr>
          <w:rFonts w:cs="Times New Roman"/>
          <w:sz w:val="20"/>
          <w:szCs w:val="20"/>
        </w:rPr>
        <w:t>National Voter Registration Act</w:t>
      </w:r>
      <w:r w:rsidR="004937F3" w:rsidRPr="002D4C88">
        <w:rPr>
          <w:rFonts w:cs="Times New Roman"/>
          <w:sz w:val="20"/>
          <w:szCs w:val="20"/>
        </w:rPr>
        <w:t>-requir</w:t>
      </w:r>
      <w:r w:rsidR="00A66504" w:rsidRPr="002D4C88">
        <w:rPr>
          <w:rFonts w:cs="Times New Roman"/>
          <w:sz w:val="20"/>
          <w:szCs w:val="20"/>
        </w:rPr>
        <w:t>ing</w:t>
      </w:r>
      <w:r w:rsidR="004937F3" w:rsidRPr="002D4C88">
        <w:rPr>
          <w:rFonts w:cs="Times New Roman"/>
          <w:sz w:val="20"/>
          <w:szCs w:val="20"/>
        </w:rPr>
        <w:t xml:space="preserve"> states to make registration available to all state public assistance agenc</w:t>
      </w:r>
      <w:r w:rsidR="00A66504" w:rsidRPr="002D4C88">
        <w:rPr>
          <w:rFonts w:cs="Times New Roman"/>
          <w:sz w:val="20"/>
          <w:szCs w:val="20"/>
        </w:rPr>
        <w:t>y</w:t>
      </w:r>
      <w:r w:rsidR="00A64D94" w:rsidRPr="002D4C88">
        <w:rPr>
          <w:rFonts w:cs="Times New Roman"/>
          <w:sz w:val="20"/>
          <w:szCs w:val="20"/>
        </w:rPr>
        <w:t xml:space="preserve"> (and DMV)</w:t>
      </w:r>
      <w:r w:rsidR="00010742" w:rsidRPr="002D4C88">
        <w:rPr>
          <w:rFonts w:cs="Times New Roman"/>
          <w:sz w:val="20"/>
          <w:szCs w:val="20"/>
        </w:rPr>
        <w:t xml:space="preserve"> </w:t>
      </w:r>
      <w:r w:rsidR="00A66504" w:rsidRPr="002D4C88">
        <w:rPr>
          <w:rFonts w:cs="Times New Roman"/>
          <w:sz w:val="20"/>
          <w:szCs w:val="20"/>
        </w:rPr>
        <w:t>clients</w:t>
      </w:r>
      <w:r w:rsidR="00010742" w:rsidRPr="002D4C88">
        <w:rPr>
          <w:rFonts w:cs="Times New Roman"/>
          <w:sz w:val="20"/>
          <w:szCs w:val="20"/>
        </w:rPr>
        <w:t>-grantees Demos, Project Vote and Lawyers’ Committee negotiated with, and when necessary, sued</w:t>
      </w:r>
      <w:r w:rsidR="007F712D" w:rsidRPr="002D4C88">
        <w:rPr>
          <w:rFonts w:cs="Times New Roman"/>
          <w:sz w:val="20"/>
          <w:szCs w:val="20"/>
        </w:rPr>
        <w:t>,</w:t>
      </w:r>
      <w:r w:rsidR="00010742" w:rsidRPr="002D4C88">
        <w:rPr>
          <w:rFonts w:cs="Times New Roman"/>
          <w:sz w:val="20"/>
          <w:szCs w:val="20"/>
        </w:rPr>
        <w:t xml:space="preserve"> state governments to </w:t>
      </w:r>
      <w:r w:rsidR="006663FB" w:rsidRPr="002D4C88">
        <w:rPr>
          <w:rFonts w:cs="Times New Roman"/>
          <w:sz w:val="20"/>
          <w:szCs w:val="20"/>
        </w:rPr>
        <w:t>comply</w:t>
      </w:r>
      <w:r w:rsidR="00F4217F" w:rsidRPr="002D4C88">
        <w:rPr>
          <w:rFonts w:cs="Times New Roman"/>
          <w:sz w:val="20"/>
          <w:szCs w:val="20"/>
        </w:rPr>
        <w:t xml:space="preserve">. </w:t>
      </w:r>
      <w:r w:rsidR="00EC553B" w:rsidRPr="002D4C88">
        <w:rPr>
          <w:rFonts w:cs="Times New Roman"/>
          <w:sz w:val="20"/>
          <w:szCs w:val="20"/>
        </w:rPr>
        <w:t xml:space="preserve">They </w:t>
      </w:r>
      <w:r w:rsidR="00B05787" w:rsidRPr="002D4C88">
        <w:rPr>
          <w:rFonts w:cs="Times New Roman"/>
          <w:sz w:val="20"/>
          <w:szCs w:val="20"/>
        </w:rPr>
        <w:t>also target</w:t>
      </w:r>
      <w:r w:rsidR="00A66504" w:rsidRPr="002D4C88">
        <w:rPr>
          <w:rFonts w:cs="Times New Roman"/>
          <w:sz w:val="20"/>
          <w:szCs w:val="20"/>
        </w:rPr>
        <w:t>ed</w:t>
      </w:r>
      <w:r w:rsidR="00B05787" w:rsidRPr="002D4C88">
        <w:rPr>
          <w:rFonts w:cs="Times New Roman"/>
          <w:sz w:val="20"/>
          <w:szCs w:val="20"/>
        </w:rPr>
        <w:t xml:space="preserve"> disability offices, corrections departments, and new agencies</w:t>
      </w:r>
      <w:r w:rsidR="007F712D" w:rsidRPr="002D4C88">
        <w:rPr>
          <w:rFonts w:cs="Times New Roman"/>
          <w:sz w:val="20"/>
          <w:szCs w:val="20"/>
        </w:rPr>
        <w:t xml:space="preserve"> </w:t>
      </w:r>
      <w:r w:rsidR="0049798A" w:rsidRPr="002D4C88">
        <w:rPr>
          <w:rFonts w:cs="Times New Roman"/>
          <w:sz w:val="20"/>
          <w:szCs w:val="20"/>
        </w:rPr>
        <w:t>(USCIS</w:t>
      </w:r>
      <w:r w:rsidR="00263204" w:rsidRPr="002D4C88">
        <w:rPr>
          <w:rFonts w:cs="Times New Roman"/>
          <w:sz w:val="20"/>
          <w:szCs w:val="20"/>
        </w:rPr>
        <w:t xml:space="preserve">, </w:t>
      </w:r>
      <w:r w:rsidR="0009396A" w:rsidRPr="002D4C88">
        <w:rPr>
          <w:rFonts w:cs="Times New Roman"/>
          <w:sz w:val="20"/>
          <w:szCs w:val="20"/>
        </w:rPr>
        <w:t xml:space="preserve">the </w:t>
      </w:r>
      <w:r w:rsidR="00263204" w:rsidRPr="002D4C88">
        <w:rPr>
          <w:rFonts w:cs="Times New Roman"/>
          <w:sz w:val="20"/>
          <w:szCs w:val="20"/>
        </w:rPr>
        <w:t>VA</w:t>
      </w:r>
      <w:r w:rsidR="00C34F35" w:rsidRPr="002D4C88">
        <w:rPr>
          <w:rFonts w:cs="Times New Roman"/>
          <w:sz w:val="20"/>
          <w:szCs w:val="20"/>
        </w:rPr>
        <w:t xml:space="preserve">, </w:t>
      </w:r>
      <w:r w:rsidR="007F712D" w:rsidRPr="002D4C88">
        <w:rPr>
          <w:rFonts w:cs="Times New Roman"/>
          <w:sz w:val="20"/>
          <w:szCs w:val="20"/>
        </w:rPr>
        <w:t xml:space="preserve">and </w:t>
      </w:r>
      <w:r w:rsidR="00C34F35" w:rsidRPr="002D4C88">
        <w:rPr>
          <w:rFonts w:cs="Times New Roman"/>
          <w:sz w:val="20"/>
          <w:szCs w:val="20"/>
        </w:rPr>
        <w:t xml:space="preserve">later </w:t>
      </w:r>
      <w:r w:rsidR="00A448F7" w:rsidRPr="002D4C88">
        <w:rPr>
          <w:rFonts w:cs="Times New Roman"/>
          <w:sz w:val="20"/>
          <w:szCs w:val="20"/>
        </w:rPr>
        <w:t xml:space="preserve">state </w:t>
      </w:r>
      <w:r w:rsidR="001E5806" w:rsidRPr="002D4C88">
        <w:rPr>
          <w:rFonts w:cs="Times New Roman"/>
          <w:sz w:val="20"/>
          <w:szCs w:val="20"/>
        </w:rPr>
        <w:t xml:space="preserve">health care </w:t>
      </w:r>
      <w:r w:rsidR="006663FB" w:rsidRPr="002D4C88">
        <w:rPr>
          <w:rFonts w:cs="Times New Roman"/>
          <w:sz w:val="20"/>
          <w:szCs w:val="20"/>
        </w:rPr>
        <w:t>exchanges</w:t>
      </w:r>
      <w:r w:rsidR="00263204" w:rsidRPr="002D4C88">
        <w:rPr>
          <w:rFonts w:cs="Times New Roman"/>
          <w:sz w:val="20"/>
          <w:szCs w:val="20"/>
        </w:rPr>
        <w:t>)</w:t>
      </w:r>
      <w:r w:rsidR="00D06AFF" w:rsidRPr="002D4C88">
        <w:rPr>
          <w:rFonts w:cs="Times New Roman"/>
          <w:sz w:val="20"/>
          <w:szCs w:val="20"/>
        </w:rPr>
        <w:t>.</w:t>
      </w:r>
      <w:r w:rsidR="001D5382" w:rsidRPr="002D4C88">
        <w:rPr>
          <w:rStyle w:val="FootnoteReference"/>
          <w:rFonts w:cs="Times New Roman"/>
          <w:sz w:val="20"/>
          <w:szCs w:val="20"/>
        </w:rPr>
        <w:footnoteReference w:id="6"/>
      </w:r>
      <w:r w:rsidR="00A656C2" w:rsidRPr="002D4C88">
        <w:rPr>
          <w:rFonts w:cs="Times New Roman"/>
          <w:sz w:val="20"/>
          <w:szCs w:val="20"/>
        </w:rPr>
        <w:t xml:space="preserve"> </w:t>
      </w:r>
    </w:p>
    <w:p w:rsidR="006C56B1" w:rsidRDefault="00825D5A" w:rsidP="005D7590">
      <w:pPr>
        <w:rPr>
          <w:rFonts w:cs="Times New Roman"/>
          <w:b/>
          <w:sz w:val="20"/>
          <w:szCs w:val="20"/>
        </w:rPr>
      </w:pPr>
      <w:r w:rsidRPr="009A7668">
        <w:rPr>
          <w:rFonts w:cs="Times New Roman"/>
          <w:b/>
          <w:sz w:val="20"/>
          <w:szCs w:val="20"/>
        </w:rPr>
        <w:t xml:space="preserve">War </w:t>
      </w:r>
      <w:r w:rsidR="00A26E1F" w:rsidRPr="009A7668">
        <w:rPr>
          <w:rFonts w:cs="Times New Roman"/>
          <w:b/>
          <w:sz w:val="20"/>
          <w:szCs w:val="20"/>
        </w:rPr>
        <w:t xml:space="preserve">years </w:t>
      </w:r>
      <w:r w:rsidR="007F7D14" w:rsidRPr="009A7668">
        <w:rPr>
          <w:rFonts w:cs="Times New Roman"/>
          <w:b/>
          <w:sz w:val="20"/>
          <w:szCs w:val="20"/>
        </w:rPr>
        <w:t xml:space="preserve">- </w:t>
      </w:r>
      <w:r w:rsidR="00992162" w:rsidRPr="009A7668">
        <w:rPr>
          <w:rFonts w:cs="Times New Roman"/>
          <w:b/>
          <w:sz w:val="20"/>
          <w:szCs w:val="20"/>
        </w:rPr>
        <w:t>201</w:t>
      </w:r>
      <w:r w:rsidR="006617ED" w:rsidRPr="009A7668">
        <w:rPr>
          <w:rFonts w:cs="Times New Roman"/>
          <w:b/>
          <w:sz w:val="20"/>
          <w:szCs w:val="20"/>
        </w:rPr>
        <w:t xml:space="preserve">1 &amp; </w:t>
      </w:r>
      <w:r w:rsidR="007F7D14" w:rsidRPr="009A7668">
        <w:rPr>
          <w:rFonts w:cs="Times New Roman"/>
          <w:b/>
          <w:sz w:val="20"/>
          <w:szCs w:val="20"/>
        </w:rPr>
        <w:t>2012</w:t>
      </w:r>
      <w:r w:rsidR="00AE2716" w:rsidRPr="009A7668">
        <w:rPr>
          <w:rFonts w:cs="Times New Roman"/>
          <w:b/>
          <w:sz w:val="20"/>
          <w:szCs w:val="20"/>
        </w:rPr>
        <w:t>:</w:t>
      </w:r>
    </w:p>
    <w:p w:rsidR="005B78E7" w:rsidRPr="009A7668" w:rsidRDefault="00D06AFF" w:rsidP="005D7590">
      <w:pPr>
        <w:rPr>
          <w:rFonts w:cs="Times New Roman"/>
          <w:sz w:val="20"/>
          <w:szCs w:val="20"/>
        </w:rPr>
      </w:pPr>
      <w:r w:rsidRPr="009A7668">
        <w:rPr>
          <w:rFonts w:cs="Times New Roman"/>
          <w:sz w:val="20"/>
          <w:szCs w:val="20"/>
        </w:rPr>
        <w:t>While</w:t>
      </w:r>
      <w:r w:rsidRPr="009A7668">
        <w:rPr>
          <w:rFonts w:cs="Times New Roman"/>
          <w:b/>
          <w:sz w:val="20"/>
          <w:szCs w:val="20"/>
        </w:rPr>
        <w:t xml:space="preserve"> </w:t>
      </w:r>
      <w:r w:rsidR="005914B2" w:rsidRPr="009A7668">
        <w:rPr>
          <w:sz w:val="20"/>
          <w:szCs w:val="20"/>
        </w:rPr>
        <w:t xml:space="preserve">states </w:t>
      </w:r>
      <w:r w:rsidR="005914B2" w:rsidRPr="009A7668">
        <w:rPr>
          <w:rFonts w:cs="Times New Roman"/>
          <w:sz w:val="20"/>
          <w:szCs w:val="20"/>
        </w:rPr>
        <w:t>enact</w:t>
      </w:r>
      <w:r w:rsidR="003F0186" w:rsidRPr="009A7668">
        <w:rPr>
          <w:rFonts w:cs="Times New Roman"/>
          <w:sz w:val="20"/>
          <w:szCs w:val="20"/>
        </w:rPr>
        <w:t>ed</w:t>
      </w:r>
      <w:r w:rsidR="005914B2" w:rsidRPr="009A7668">
        <w:rPr>
          <w:rFonts w:cs="Times New Roman"/>
          <w:sz w:val="20"/>
          <w:szCs w:val="20"/>
        </w:rPr>
        <w:t xml:space="preserve"> </w:t>
      </w:r>
      <w:r w:rsidRPr="009A7668">
        <w:rPr>
          <w:sz w:val="20"/>
          <w:szCs w:val="20"/>
        </w:rPr>
        <w:t xml:space="preserve">registration </w:t>
      </w:r>
      <w:r w:rsidR="006858DF" w:rsidRPr="009A7668">
        <w:rPr>
          <w:rFonts w:cs="Times New Roman"/>
          <w:sz w:val="20"/>
          <w:szCs w:val="20"/>
        </w:rPr>
        <w:t xml:space="preserve">reforms </w:t>
      </w:r>
      <w:r w:rsidR="00A80872" w:rsidRPr="009A7668">
        <w:rPr>
          <w:rFonts w:cs="Times New Roman"/>
          <w:sz w:val="20"/>
          <w:szCs w:val="20"/>
        </w:rPr>
        <w:t xml:space="preserve">through mid-2010 </w:t>
      </w:r>
      <w:r w:rsidR="005914B2" w:rsidRPr="009A7668">
        <w:rPr>
          <w:rFonts w:cs="Times New Roman"/>
          <w:sz w:val="20"/>
          <w:szCs w:val="20"/>
        </w:rPr>
        <w:t>without fanfare or partisan wrangling</w:t>
      </w:r>
      <w:r w:rsidRPr="009A7668">
        <w:rPr>
          <w:rFonts w:cs="Times New Roman"/>
          <w:sz w:val="20"/>
          <w:szCs w:val="20"/>
        </w:rPr>
        <w:t xml:space="preserve">, </w:t>
      </w:r>
      <w:r w:rsidR="00230E85" w:rsidRPr="009A7668">
        <w:rPr>
          <w:sz w:val="20"/>
          <w:szCs w:val="20"/>
        </w:rPr>
        <w:t>conservative quarters</w:t>
      </w:r>
      <w:r w:rsidR="008F6C5F" w:rsidRPr="009A7668">
        <w:rPr>
          <w:sz w:val="20"/>
          <w:szCs w:val="20"/>
        </w:rPr>
        <w:t xml:space="preserve"> </w:t>
      </w:r>
      <w:r w:rsidRPr="009A7668">
        <w:rPr>
          <w:sz w:val="20"/>
          <w:szCs w:val="20"/>
        </w:rPr>
        <w:t xml:space="preserve">were </w:t>
      </w:r>
      <w:r w:rsidR="008F6C5F" w:rsidRPr="009A7668">
        <w:rPr>
          <w:sz w:val="20"/>
          <w:szCs w:val="20"/>
        </w:rPr>
        <w:t>quietly work</w:t>
      </w:r>
      <w:r w:rsidRPr="009A7668">
        <w:rPr>
          <w:sz w:val="20"/>
          <w:szCs w:val="20"/>
        </w:rPr>
        <w:t>ing</w:t>
      </w:r>
      <w:r w:rsidR="008F6C5F" w:rsidRPr="009A7668">
        <w:rPr>
          <w:sz w:val="20"/>
          <w:szCs w:val="20"/>
        </w:rPr>
        <w:t xml:space="preserve"> with ALEC to </w:t>
      </w:r>
      <w:r w:rsidR="00FA2F07" w:rsidRPr="009A7668">
        <w:rPr>
          <w:sz w:val="20"/>
          <w:szCs w:val="20"/>
        </w:rPr>
        <w:t>design policies to sharply reverse voting rights</w:t>
      </w:r>
      <w:r w:rsidR="00EC553B" w:rsidRPr="009A7668">
        <w:rPr>
          <w:sz w:val="20"/>
          <w:szCs w:val="20"/>
        </w:rPr>
        <w:t xml:space="preserve">. This </w:t>
      </w:r>
      <w:r w:rsidR="008358C3" w:rsidRPr="009A7668">
        <w:rPr>
          <w:sz w:val="20"/>
          <w:szCs w:val="20"/>
        </w:rPr>
        <w:t>culminat</w:t>
      </w:r>
      <w:r w:rsidR="00EC553B" w:rsidRPr="009A7668">
        <w:rPr>
          <w:sz w:val="20"/>
          <w:szCs w:val="20"/>
        </w:rPr>
        <w:t>ed</w:t>
      </w:r>
      <w:r w:rsidR="008358C3" w:rsidRPr="009A7668">
        <w:rPr>
          <w:sz w:val="20"/>
          <w:szCs w:val="20"/>
        </w:rPr>
        <w:t xml:space="preserve"> in </w:t>
      </w:r>
      <w:r w:rsidR="00A73BF8" w:rsidRPr="009A7668">
        <w:rPr>
          <w:sz w:val="20"/>
          <w:szCs w:val="20"/>
        </w:rPr>
        <w:t xml:space="preserve">November </w:t>
      </w:r>
      <w:r w:rsidR="00E94A87" w:rsidRPr="009A7668">
        <w:rPr>
          <w:sz w:val="20"/>
          <w:szCs w:val="20"/>
        </w:rPr>
        <w:t xml:space="preserve">2010, </w:t>
      </w:r>
      <w:r w:rsidR="00E62FFC" w:rsidRPr="009A7668">
        <w:rPr>
          <w:sz w:val="20"/>
          <w:szCs w:val="20"/>
        </w:rPr>
        <w:t xml:space="preserve">when </w:t>
      </w:r>
      <w:r w:rsidR="00EC4591">
        <w:rPr>
          <w:sz w:val="20"/>
          <w:szCs w:val="20"/>
        </w:rPr>
        <w:t xml:space="preserve">conservative </w:t>
      </w:r>
      <w:r w:rsidR="00E62FFC" w:rsidRPr="009A7668">
        <w:rPr>
          <w:sz w:val="20"/>
          <w:szCs w:val="20"/>
        </w:rPr>
        <w:t xml:space="preserve">legislative majorities swept into </w:t>
      </w:r>
      <w:r w:rsidR="00EC4591">
        <w:rPr>
          <w:sz w:val="20"/>
          <w:szCs w:val="20"/>
        </w:rPr>
        <w:t xml:space="preserve">control of state legislatures across the country and moved to enact a variety of </w:t>
      </w:r>
      <w:r w:rsidR="00FA2F07" w:rsidRPr="009A7668">
        <w:rPr>
          <w:sz w:val="20"/>
          <w:szCs w:val="20"/>
        </w:rPr>
        <w:t>franchise-restricting policies</w:t>
      </w:r>
      <w:r w:rsidR="00C63B56" w:rsidRPr="009A7668">
        <w:rPr>
          <w:sz w:val="20"/>
          <w:szCs w:val="20"/>
        </w:rPr>
        <w:t>.</w:t>
      </w:r>
      <w:r w:rsidR="008F6C5F" w:rsidRPr="009A7668">
        <w:rPr>
          <w:sz w:val="20"/>
          <w:szCs w:val="20"/>
        </w:rPr>
        <w:t xml:space="preserve"> </w:t>
      </w:r>
      <w:r w:rsidR="000428A7" w:rsidRPr="009A7668">
        <w:rPr>
          <w:sz w:val="20"/>
          <w:szCs w:val="20"/>
        </w:rPr>
        <w:t>Pr</w:t>
      </w:r>
      <w:r w:rsidR="00EC4591">
        <w:rPr>
          <w:sz w:val="20"/>
          <w:szCs w:val="20"/>
        </w:rPr>
        <w:t xml:space="preserve">ior to the 2010 election, </w:t>
      </w:r>
      <w:r w:rsidR="007F751E" w:rsidRPr="009A7668">
        <w:rPr>
          <w:sz w:val="20"/>
          <w:szCs w:val="20"/>
        </w:rPr>
        <w:t xml:space="preserve">while </w:t>
      </w:r>
      <w:r w:rsidR="000428A7" w:rsidRPr="009A7668">
        <w:rPr>
          <w:sz w:val="20"/>
          <w:szCs w:val="20"/>
        </w:rPr>
        <w:t xml:space="preserve">there was </w:t>
      </w:r>
      <w:r w:rsidR="005251D5" w:rsidRPr="009A7668">
        <w:rPr>
          <w:sz w:val="20"/>
          <w:szCs w:val="20"/>
        </w:rPr>
        <w:t xml:space="preserve">much </w:t>
      </w:r>
      <w:r w:rsidR="000428A7" w:rsidRPr="009A7668">
        <w:rPr>
          <w:sz w:val="20"/>
          <w:szCs w:val="20"/>
        </w:rPr>
        <w:t xml:space="preserve">anti-Obama birtherism, and </w:t>
      </w:r>
      <w:r w:rsidR="005251D5" w:rsidRPr="009A7668">
        <w:rPr>
          <w:sz w:val="20"/>
          <w:szCs w:val="20"/>
        </w:rPr>
        <w:t>“</w:t>
      </w:r>
      <w:r w:rsidR="000428A7" w:rsidRPr="009A7668">
        <w:rPr>
          <w:sz w:val="20"/>
          <w:szCs w:val="20"/>
        </w:rPr>
        <w:t>death panel</w:t>
      </w:r>
      <w:r w:rsidR="005251D5" w:rsidRPr="009A7668">
        <w:rPr>
          <w:sz w:val="20"/>
          <w:szCs w:val="20"/>
        </w:rPr>
        <w:t>”</w:t>
      </w:r>
      <w:r w:rsidR="000428A7" w:rsidRPr="009A7668">
        <w:rPr>
          <w:sz w:val="20"/>
          <w:szCs w:val="20"/>
        </w:rPr>
        <w:t xml:space="preserve"> rhetoric</w:t>
      </w:r>
      <w:r w:rsidR="00041650" w:rsidRPr="009A7668">
        <w:rPr>
          <w:sz w:val="20"/>
          <w:szCs w:val="20"/>
        </w:rPr>
        <w:t xml:space="preserve">, </w:t>
      </w:r>
      <w:r w:rsidR="007F751E" w:rsidRPr="009A7668">
        <w:rPr>
          <w:sz w:val="20"/>
          <w:szCs w:val="20"/>
        </w:rPr>
        <w:t>as noted above, there was</w:t>
      </w:r>
      <w:r w:rsidR="00160D84" w:rsidRPr="009A7668">
        <w:rPr>
          <w:sz w:val="20"/>
          <w:szCs w:val="20"/>
        </w:rPr>
        <w:t xml:space="preserve"> little evidence of concerted efforts to </w:t>
      </w:r>
      <w:r w:rsidR="003F08F8" w:rsidRPr="009A7668">
        <w:rPr>
          <w:sz w:val="20"/>
          <w:szCs w:val="20"/>
        </w:rPr>
        <w:t xml:space="preserve">disfranchise </w:t>
      </w:r>
      <w:r w:rsidR="00EC4591">
        <w:rPr>
          <w:sz w:val="20"/>
          <w:szCs w:val="20"/>
        </w:rPr>
        <w:t>voters</w:t>
      </w:r>
      <w:r w:rsidR="000428A7" w:rsidRPr="009A7668">
        <w:rPr>
          <w:sz w:val="20"/>
          <w:szCs w:val="20"/>
        </w:rPr>
        <w:t xml:space="preserve">. </w:t>
      </w:r>
      <w:r w:rsidR="00E74226" w:rsidRPr="009A7668">
        <w:rPr>
          <w:sz w:val="20"/>
          <w:szCs w:val="20"/>
        </w:rPr>
        <w:t xml:space="preserve"> </w:t>
      </w:r>
      <w:r w:rsidR="004A686D" w:rsidRPr="009A7668">
        <w:rPr>
          <w:sz w:val="20"/>
          <w:szCs w:val="20"/>
        </w:rPr>
        <w:t xml:space="preserve">As a result, we weren’t prepared for the </w:t>
      </w:r>
      <w:r w:rsidR="00EC4591" w:rsidRPr="009A7668">
        <w:rPr>
          <w:sz w:val="20"/>
          <w:szCs w:val="20"/>
        </w:rPr>
        <w:t xml:space="preserve">audacity and scale </w:t>
      </w:r>
      <w:r w:rsidR="00EC4591">
        <w:rPr>
          <w:sz w:val="20"/>
          <w:szCs w:val="20"/>
        </w:rPr>
        <w:t xml:space="preserve">of the </w:t>
      </w:r>
      <w:r w:rsidR="002F02B7">
        <w:rPr>
          <w:sz w:val="20"/>
          <w:szCs w:val="20"/>
        </w:rPr>
        <w:t xml:space="preserve">ensuing </w:t>
      </w:r>
      <w:r w:rsidR="00E74226" w:rsidRPr="009A7668">
        <w:rPr>
          <w:sz w:val="20"/>
          <w:szCs w:val="20"/>
        </w:rPr>
        <w:t xml:space="preserve">efforts to </w:t>
      </w:r>
      <w:r w:rsidR="004A686D" w:rsidRPr="009A7668">
        <w:rPr>
          <w:sz w:val="20"/>
          <w:szCs w:val="20"/>
        </w:rPr>
        <w:t>disfranchise.</w:t>
      </w:r>
      <w:r w:rsidR="007E7DFE" w:rsidRPr="009A7668">
        <w:rPr>
          <w:sz w:val="20"/>
          <w:szCs w:val="20"/>
        </w:rPr>
        <w:t xml:space="preserve"> </w:t>
      </w:r>
      <w:r w:rsidR="00EC4591">
        <w:rPr>
          <w:sz w:val="20"/>
          <w:szCs w:val="20"/>
        </w:rPr>
        <w:t>S</w:t>
      </w:r>
      <w:r w:rsidR="005E0005" w:rsidRPr="009A7668">
        <w:rPr>
          <w:sz w:val="20"/>
          <w:szCs w:val="20"/>
        </w:rPr>
        <w:t xml:space="preserve">tate policymakers pushed </w:t>
      </w:r>
      <w:r w:rsidR="005251D5" w:rsidRPr="009A7668">
        <w:rPr>
          <w:rFonts w:cs="Times New Roman"/>
          <w:sz w:val="20"/>
          <w:szCs w:val="20"/>
        </w:rPr>
        <w:t xml:space="preserve">harsh rules requiring specific types of government ID to vote, proof of citizenship requirements for registration, cutbacks in early voting, repeal of </w:t>
      </w:r>
      <w:r w:rsidR="005E0005" w:rsidRPr="009A7668">
        <w:rPr>
          <w:rFonts w:cs="Times New Roman"/>
          <w:sz w:val="20"/>
          <w:szCs w:val="20"/>
        </w:rPr>
        <w:t>same day registration</w:t>
      </w:r>
      <w:r w:rsidR="005251D5" w:rsidRPr="009A7668">
        <w:rPr>
          <w:rFonts w:cs="Times New Roman"/>
          <w:sz w:val="20"/>
          <w:szCs w:val="20"/>
        </w:rPr>
        <w:t xml:space="preserve">, and crackdowns on nonpartisan voter registration drives.  </w:t>
      </w:r>
      <w:r w:rsidR="006F2CC1" w:rsidRPr="009A7668">
        <w:rPr>
          <w:sz w:val="20"/>
          <w:szCs w:val="20"/>
        </w:rPr>
        <w:t xml:space="preserve">In 2011 alone, state legislators introduced </w:t>
      </w:r>
      <w:r w:rsidR="006F2CC1" w:rsidRPr="009A7668">
        <w:rPr>
          <w:rFonts w:cs="Times New Roman"/>
          <w:sz w:val="20"/>
          <w:szCs w:val="20"/>
        </w:rPr>
        <w:t>over 100 restrictive bills, and b</w:t>
      </w:r>
      <w:r w:rsidR="007349A6" w:rsidRPr="009A7668">
        <w:rPr>
          <w:rFonts w:cs="Times New Roman"/>
          <w:sz w:val="20"/>
          <w:szCs w:val="20"/>
        </w:rPr>
        <w:t xml:space="preserve">y the 2012 election, 25 restrictive laws </w:t>
      </w:r>
      <w:r w:rsidR="005251D5" w:rsidRPr="009A7668">
        <w:rPr>
          <w:rFonts w:cs="Times New Roman"/>
          <w:sz w:val="20"/>
          <w:szCs w:val="20"/>
        </w:rPr>
        <w:t xml:space="preserve">and two executive actions </w:t>
      </w:r>
      <w:r w:rsidR="007349A6" w:rsidRPr="009A7668">
        <w:rPr>
          <w:rFonts w:cs="Times New Roman"/>
          <w:sz w:val="20"/>
          <w:szCs w:val="20"/>
        </w:rPr>
        <w:t>had passed</w:t>
      </w:r>
      <w:r w:rsidR="00CB4FE3" w:rsidRPr="009A7668">
        <w:rPr>
          <w:rFonts w:cs="Times New Roman"/>
          <w:sz w:val="20"/>
          <w:szCs w:val="20"/>
        </w:rPr>
        <w:t>.</w:t>
      </w:r>
    </w:p>
    <w:p w:rsidR="006F75AD" w:rsidRPr="007D17C0" w:rsidRDefault="00E94A87" w:rsidP="007D17C0">
      <w:pPr>
        <w:rPr>
          <w:sz w:val="20"/>
          <w:szCs w:val="20"/>
        </w:rPr>
      </w:pPr>
      <w:r w:rsidRPr="007D17C0">
        <w:rPr>
          <w:sz w:val="20"/>
          <w:szCs w:val="20"/>
        </w:rPr>
        <w:t>Th</w:t>
      </w:r>
      <w:r w:rsidR="00196D2B" w:rsidRPr="007D17C0">
        <w:rPr>
          <w:sz w:val="20"/>
          <w:szCs w:val="20"/>
        </w:rPr>
        <w:t>e</w:t>
      </w:r>
      <w:r w:rsidRPr="007D17C0">
        <w:rPr>
          <w:sz w:val="20"/>
          <w:szCs w:val="20"/>
        </w:rPr>
        <w:t xml:space="preserve"> </w:t>
      </w:r>
      <w:r w:rsidR="00CD1BCF" w:rsidRPr="007D17C0">
        <w:rPr>
          <w:sz w:val="20"/>
          <w:szCs w:val="20"/>
        </w:rPr>
        <w:t>continuing</w:t>
      </w:r>
      <w:r w:rsidRPr="007D17C0">
        <w:rPr>
          <w:sz w:val="20"/>
          <w:szCs w:val="20"/>
        </w:rPr>
        <w:t xml:space="preserve"> increase in the number of suppressive voting laws</w:t>
      </w:r>
      <w:r w:rsidR="00B36B63" w:rsidRPr="007D17C0">
        <w:rPr>
          <w:sz w:val="20"/>
          <w:szCs w:val="20"/>
        </w:rPr>
        <w:t xml:space="preserve">, </w:t>
      </w:r>
      <w:r w:rsidRPr="007D17C0">
        <w:rPr>
          <w:sz w:val="20"/>
          <w:szCs w:val="20"/>
        </w:rPr>
        <w:t>a</w:t>
      </w:r>
      <w:r w:rsidR="00B36B63" w:rsidRPr="007D17C0">
        <w:rPr>
          <w:sz w:val="20"/>
          <w:szCs w:val="20"/>
        </w:rPr>
        <w:t xml:space="preserve">s well as </w:t>
      </w:r>
      <w:r w:rsidR="00A96711" w:rsidRPr="007D17C0">
        <w:rPr>
          <w:sz w:val="20"/>
          <w:szCs w:val="20"/>
        </w:rPr>
        <w:t xml:space="preserve">voter intimidation </w:t>
      </w:r>
      <w:r w:rsidR="004A75AF" w:rsidRPr="007D17C0">
        <w:rPr>
          <w:sz w:val="20"/>
          <w:szCs w:val="20"/>
        </w:rPr>
        <w:t xml:space="preserve">of </w:t>
      </w:r>
      <w:r w:rsidR="00970AB7" w:rsidRPr="007D17C0">
        <w:rPr>
          <w:sz w:val="20"/>
          <w:szCs w:val="20"/>
        </w:rPr>
        <w:t xml:space="preserve">various </w:t>
      </w:r>
      <w:r w:rsidR="004A75AF" w:rsidRPr="007D17C0">
        <w:rPr>
          <w:sz w:val="20"/>
          <w:szCs w:val="20"/>
        </w:rPr>
        <w:t>kinds</w:t>
      </w:r>
      <w:r w:rsidR="00B36B63" w:rsidRPr="007D17C0">
        <w:rPr>
          <w:sz w:val="20"/>
          <w:szCs w:val="20"/>
        </w:rPr>
        <w:t>,</w:t>
      </w:r>
      <w:r w:rsidR="00B36B63" w:rsidRPr="007D17C0" w:rsidDel="00A96711">
        <w:rPr>
          <w:sz w:val="20"/>
          <w:szCs w:val="20"/>
        </w:rPr>
        <w:t xml:space="preserve"> </w:t>
      </w:r>
      <w:r w:rsidR="00196D2B" w:rsidRPr="007D17C0">
        <w:rPr>
          <w:sz w:val="20"/>
          <w:szCs w:val="20"/>
        </w:rPr>
        <w:t xml:space="preserve">left </w:t>
      </w:r>
      <w:r w:rsidR="00240F92" w:rsidRPr="007D17C0">
        <w:rPr>
          <w:sz w:val="20"/>
          <w:szCs w:val="20"/>
        </w:rPr>
        <w:t>the fi</w:t>
      </w:r>
      <w:r w:rsidRPr="007D17C0">
        <w:rPr>
          <w:sz w:val="20"/>
          <w:szCs w:val="20"/>
        </w:rPr>
        <w:t>e</w:t>
      </w:r>
      <w:r w:rsidR="00240F92" w:rsidRPr="007D17C0">
        <w:rPr>
          <w:sz w:val="20"/>
          <w:szCs w:val="20"/>
        </w:rPr>
        <w:t>l</w:t>
      </w:r>
      <w:r w:rsidRPr="007D17C0">
        <w:rPr>
          <w:sz w:val="20"/>
          <w:szCs w:val="20"/>
        </w:rPr>
        <w:t>d struggling to manage a sharp uptick in the volume of work</w:t>
      </w:r>
      <w:r w:rsidR="00196D2B" w:rsidRPr="007D17C0">
        <w:rPr>
          <w:sz w:val="20"/>
          <w:szCs w:val="20"/>
        </w:rPr>
        <w:t>.</w:t>
      </w:r>
      <w:r w:rsidR="00A33D9B" w:rsidRPr="007D17C0">
        <w:rPr>
          <w:sz w:val="20"/>
          <w:szCs w:val="20"/>
        </w:rPr>
        <w:t xml:space="preserve"> </w:t>
      </w:r>
      <w:r w:rsidR="00E734F6" w:rsidRPr="007D17C0">
        <w:rPr>
          <w:sz w:val="20"/>
          <w:szCs w:val="20"/>
        </w:rPr>
        <w:t xml:space="preserve">Making matters worse, </w:t>
      </w:r>
      <w:r w:rsidR="0063532B" w:rsidRPr="007D17C0">
        <w:rPr>
          <w:sz w:val="20"/>
          <w:szCs w:val="20"/>
        </w:rPr>
        <w:t xml:space="preserve">as </w:t>
      </w:r>
      <w:r w:rsidR="00002B99" w:rsidRPr="007D17C0">
        <w:rPr>
          <w:sz w:val="20"/>
          <w:szCs w:val="20"/>
        </w:rPr>
        <w:t xml:space="preserve">these </w:t>
      </w:r>
      <w:r w:rsidR="0063532B" w:rsidRPr="007D17C0">
        <w:rPr>
          <w:sz w:val="20"/>
          <w:szCs w:val="20"/>
        </w:rPr>
        <w:t xml:space="preserve">were </w:t>
      </w:r>
      <w:r w:rsidR="00002B99" w:rsidRPr="007D17C0">
        <w:rPr>
          <w:sz w:val="20"/>
          <w:szCs w:val="20"/>
        </w:rPr>
        <w:t>“off years</w:t>
      </w:r>
      <w:r w:rsidR="0063532B" w:rsidRPr="007D17C0">
        <w:rPr>
          <w:sz w:val="20"/>
          <w:szCs w:val="20"/>
        </w:rPr>
        <w:t>,</w:t>
      </w:r>
      <w:r w:rsidR="00002B99" w:rsidRPr="007D17C0">
        <w:rPr>
          <w:sz w:val="20"/>
          <w:szCs w:val="20"/>
        </w:rPr>
        <w:t xml:space="preserve">” </w:t>
      </w:r>
      <w:r w:rsidR="0063532B" w:rsidRPr="007D17C0">
        <w:rPr>
          <w:sz w:val="20"/>
          <w:szCs w:val="20"/>
        </w:rPr>
        <w:t xml:space="preserve">the field received less </w:t>
      </w:r>
      <w:r w:rsidR="00A33D9B" w:rsidRPr="007D17C0">
        <w:rPr>
          <w:sz w:val="20"/>
          <w:szCs w:val="20"/>
        </w:rPr>
        <w:t xml:space="preserve">support for </w:t>
      </w:r>
      <w:r w:rsidR="0017425E" w:rsidRPr="007D17C0">
        <w:rPr>
          <w:sz w:val="20"/>
          <w:szCs w:val="20"/>
        </w:rPr>
        <w:t xml:space="preserve">political </w:t>
      </w:r>
      <w:r w:rsidR="00F55B1F" w:rsidRPr="007D17C0">
        <w:rPr>
          <w:sz w:val="20"/>
          <w:szCs w:val="20"/>
        </w:rPr>
        <w:t xml:space="preserve">engagement and </w:t>
      </w:r>
      <w:r w:rsidR="00E734F6" w:rsidRPr="007D17C0">
        <w:rPr>
          <w:sz w:val="20"/>
          <w:szCs w:val="20"/>
        </w:rPr>
        <w:t xml:space="preserve">voting </w:t>
      </w:r>
      <w:r w:rsidR="00F55B1F" w:rsidRPr="007D17C0">
        <w:rPr>
          <w:sz w:val="20"/>
          <w:szCs w:val="20"/>
        </w:rPr>
        <w:t xml:space="preserve">rights </w:t>
      </w:r>
      <w:r w:rsidR="00A33D9B" w:rsidRPr="007D17C0">
        <w:rPr>
          <w:sz w:val="20"/>
          <w:szCs w:val="20"/>
        </w:rPr>
        <w:t>work</w:t>
      </w:r>
      <w:r w:rsidR="00F55B1F" w:rsidRPr="007D17C0">
        <w:rPr>
          <w:sz w:val="20"/>
          <w:szCs w:val="20"/>
        </w:rPr>
        <w:t>,</w:t>
      </w:r>
      <w:r w:rsidR="00A33D9B" w:rsidRPr="007D17C0">
        <w:rPr>
          <w:sz w:val="20"/>
          <w:szCs w:val="20"/>
        </w:rPr>
        <w:t xml:space="preserve"> </w:t>
      </w:r>
      <w:r w:rsidR="0063532B" w:rsidRPr="007D17C0">
        <w:rPr>
          <w:sz w:val="20"/>
          <w:szCs w:val="20"/>
        </w:rPr>
        <w:t xml:space="preserve">which </w:t>
      </w:r>
      <w:r w:rsidR="002D4C88" w:rsidRPr="007D17C0">
        <w:rPr>
          <w:sz w:val="20"/>
          <w:szCs w:val="20"/>
        </w:rPr>
        <w:t>hurt</w:t>
      </w:r>
      <w:r w:rsidR="0063532B" w:rsidRPr="007D17C0">
        <w:rPr>
          <w:sz w:val="20"/>
          <w:szCs w:val="20"/>
        </w:rPr>
        <w:t xml:space="preserve"> its ability to respond</w:t>
      </w:r>
      <w:r w:rsidR="00A33D9B" w:rsidRPr="007D17C0">
        <w:rPr>
          <w:sz w:val="20"/>
          <w:szCs w:val="20"/>
        </w:rPr>
        <w:t xml:space="preserve">. </w:t>
      </w:r>
      <w:r w:rsidR="00316C98" w:rsidRPr="007D17C0">
        <w:rPr>
          <w:sz w:val="20"/>
          <w:szCs w:val="20"/>
        </w:rPr>
        <w:t xml:space="preserve">We </w:t>
      </w:r>
      <w:r w:rsidR="00E734F6" w:rsidRPr="007D17C0">
        <w:rPr>
          <w:sz w:val="20"/>
          <w:szCs w:val="20"/>
        </w:rPr>
        <w:t xml:space="preserve">decided </w:t>
      </w:r>
      <w:r w:rsidR="00B208E6" w:rsidRPr="007D17C0">
        <w:rPr>
          <w:sz w:val="20"/>
          <w:szCs w:val="20"/>
        </w:rPr>
        <w:t xml:space="preserve">to support </w:t>
      </w:r>
      <w:r w:rsidR="00E734F6" w:rsidRPr="007D17C0">
        <w:rPr>
          <w:sz w:val="20"/>
          <w:szCs w:val="20"/>
        </w:rPr>
        <w:t xml:space="preserve">this set of </w:t>
      </w:r>
      <w:r w:rsidR="00316C98" w:rsidRPr="007D17C0">
        <w:rPr>
          <w:sz w:val="20"/>
          <w:szCs w:val="20"/>
        </w:rPr>
        <w:t xml:space="preserve">interventions </w:t>
      </w:r>
      <w:r w:rsidR="00E734F6" w:rsidRPr="007D17C0">
        <w:rPr>
          <w:sz w:val="20"/>
          <w:szCs w:val="20"/>
        </w:rPr>
        <w:t xml:space="preserve">to </w:t>
      </w:r>
      <w:r w:rsidR="00316C98" w:rsidRPr="007D17C0">
        <w:rPr>
          <w:sz w:val="20"/>
          <w:szCs w:val="20"/>
        </w:rPr>
        <w:t>best protect voting rights and ballot access</w:t>
      </w:r>
      <w:r w:rsidR="00307E12" w:rsidRPr="007D17C0">
        <w:rPr>
          <w:sz w:val="20"/>
          <w:szCs w:val="20"/>
        </w:rPr>
        <w:t xml:space="preserve">:  </w:t>
      </w:r>
      <w:r w:rsidR="000C72E0" w:rsidRPr="007D17C0">
        <w:rPr>
          <w:sz w:val="20"/>
          <w:szCs w:val="20"/>
        </w:rPr>
        <w:t>(</w:t>
      </w:r>
      <w:r w:rsidR="00307E12" w:rsidRPr="007D17C0">
        <w:rPr>
          <w:sz w:val="20"/>
          <w:szCs w:val="20"/>
        </w:rPr>
        <w:t xml:space="preserve">1) </w:t>
      </w:r>
      <w:r w:rsidR="009C03ED" w:rsidRPr="007D17C0">
        <w:rPr>
          <w:sz w:val="20"/>
          <w:szCs w:val="20"/>
        </w:rPr>
        <w:t xml:space="preserve">research </w:t>
      </w:r>
      <w:r w:rsidR="00D12A9A" w:rsidRPr="007D17C0">
        <w:rPr>
          <w:sz w:val="20"/>
          <w:szCs w:val="20"/>
        </w:rPr>
        <w:t xml:space="preserve">and litigation </w:t>
      </w:r>
      <w:r w:rsidR="00307E12" w:rsidRPr="007D17C0">
        <w:rPr>
          <w:sz w:val="20"/>
          <w:szCs w:val="20"/>
        </w:rPr>
        <w:t>to reinforce defense</w:t>
      </w:r>
      <w:r w:rsidR="0074184A" w:rsidRPr="007D17C0">
        <w:rPr>
          <w:sz w:val="20"/>
          <w:szCs w:val="20"/>
        </w:rPr>
        <w:t>,</w:t>
      </w:r>
      <w:r w:rsidR="00307E12" w:rsidRPr="007D17C0">
        <w:rPr>
          <w:sz w:val="20"/>
          <w:szCs w:val="20"/>
        </w:rPr>
        <w:t xml:space="preserve"> </w:t>
      </w:r>
      <w:r w:rsidR="009C03ED" w:rsidRPr="007D17C0">
        <w:rPr>
          <w:sz w:val="20"/>
          <w:szCs w:val="20"/>
        </w:rPr>
        <w:t xml:space="preserve">especially </w:t>
      </w:r>
      <w:r w:rsidR="00316C98" w:rsidRPr="007D17C0">
        <w:rPr>
          <w:sz w:val="20"/>
          <w:szCs w:val="20"/>
        </w:rPr>
        <w:t>against strict</w:t>
      </w:r>
      <w:r w:rsidR="009C03ED" w:rsidRPr="007D17C0">
        <w:rPr>
          <w:sz w:val="20"/>
          <w:szCs w:val="20"/>
        </w:rPr>
        <w:t xml:space="preserve"> ID policies</w:t>
      </w:r>
      <w:r w:rsidR="000C72E0" w:rsidRPr="007D17C0">
        <w:rPr>
          <w:sz w:val="20"/>
          <w:szCs w:val="20"/>
        </w:rPr>
        <w:t xml:space="preserve">, </w:t>
      </w:r>
      <w:r w:rsidR="00307E12" w:rsidRPr="007D17C0">
        <w:rPr>
          <w:sz w:val="20"/>
          <w:szCs w:val="20"/>
        </w:rPr>
        <w:t xml:space="preserve">while </w:t>
      </w:r>
      <w:r w:rsidR="006A511F" w:rsidRPr="007D17C0">
        <w:rPr>
          <w:sz w:val="20"/>
          <w:szCs w:val="20"/>
        </w:rPr>
        <w:t xml:space="preserve">strongly encouraging </w:t>
      </w:r>
      <w:r w:rsidR="004B4C3C" w:rsidRPr="007D17C0">
        <w:rPr>
          <w:sz w:val="20"/>
          <w:szCs w:val="20"/>
        </w:rPr>
        <w:t xml:space="preserve">the field </w:t>
      </w:r>
      <w:r w:rsidR="006A511F" w:rsidRPr="007D17C0">
        <w:rPr>
          <w:sz w:val="20"/>
          <w:szCs w:val="20"/>
        </w:rPr>
        <w:t xml:space="preserve">to </w:t>
      </w:r>
      <w:r w:rsidR="000869BE" w:rsidRPr="007D17C0">
        <w:rPr>
          <w:sz w:val="20"/>
          <w:szCs w:val="20"/>
        </w:rPr>
        <w:t>focus on ballot expanding reforms</w:t>
      </w:r>
      <w:r w:rsidR="00307E12" w:rsidRPr="007D17C0">
        <w:rPr>
          <w:sz w:val="20"/>
          <w:szCs w:val="20"/>
        </w:rPr>
        <w:t xml:space="preserve">; </w:t>
      </w:r>
      <w:r w:rsidR="00C54A45" w:rsidRPr="007D17C0">
        <w:rPr>
          <w:sz w:val="20"/>
          <w:szCs w:val="20"/>
        </w:rPr>
        <w:t>(</w:t>
      </w:r>
      <w:r w:rsidR="00A0763B" w:rsidRPr="007D17C0">
        <w:rPr>
          <w:sz w:val="20"/>
          <w:szCs w:val="20"/>
        </w:rPr>
        <w:t>2</w:t>
      </w:r>
      <w:r w:rsidR="00307E12" w:rsidRPr="007D17C0">
        <w:rPr>
          <w:sz w:val="20"/>
          <w:szCs w:val="20"/>
        </w:rPr>
        <w:t xml:space="preserve">) </w:t>
      </w:r>
      <w:r w:rsidR="000869BE" w:rsidRPr="007D17C0">
        <w:rPr>
          <w:sz w:val="20"/>
          <w:szCs w:val="20"/>
        </w:rPr>
        <w:t xml:space="preserve">the </w:t>
      </w:r>
      <w:r w:rsidR="0074184A" w:rsidRPr="007D17C0">
        <w:rPr>
          <w:sz w:val="20"/>
          <w:szCs w:val="20"/>
        </w:rPr>
        <w:t>adapt</w:t>
      </w:r>
      <w:r w:rsidR="000869BE" w:rsidRPr="007D17C0">
        <w:rPr>
          <w:sz w:val="20"/>
          <w:szCs w:val="20"/>
        </w:rPr>
        <w:t>ation of</w:t>
      </w:r>
      <w:r w:rsidR="0074184A" w:rsidRPr="007D17C0">
        <w:rPr>
          <w:sz w:val="20"/>
          <w:szCs w:val="20"/>
        </w:rPr>
        <w:t xml:space="preserve"> </w:t>
      </w:r>
      <w:r w:rsidR="00307E12" w:rsidRPr="007D17C0">
        <w:rPr>
          <w:sz w:val="20"/>
          <w:szCs w:val="20"/>
        </w:rPr>
        <w:t>election protection</w:t>
      </w:r>
      <w:r w:rsidR="0074184A" w:rsidRPr="007D17C0">
        <w:rPr>
          <w:sz w:val="20"/>
          <w:szCs w:val="20"/>
        </w:rPr>
        <w:t xml:space="preserve"> to the new landscape</w:t>
      </w:r>
      <w:r w:rsidR="001E6168" w:rsidRPr="007D17C0">
        <w:rPr>
          <w:sz w:val="20"/>
          <w:szCs w:val="20"/>
        </w:rPr>
        <w:t>;</w:t>
      </w:r>
      <w:r w:rsidR="00A0763B" w:rsidRPr="007D17C0">
        <w:rPr>
          <w:sz w:val="20"/>
          <w:szCs w:val="20"/>
        </w:rPr>
        <w:t xml:space="preserve"> and</w:t>
      </w:r>
      <w:r w:rsidR="001E6168" w:rsidRPr="007D17C0">
        <w:rPr>
          <w:sz w:val="20"/>
          <w:szCs w:val="20"/>
        </w:rPr>
        <w:t>,</w:t>
      </w:r>
      <w:r w:rsidR="00A0763B" w:rsidRPr="007D17C0">
        <w:rPr>
          <w:sz w:val="20"/>
          <w:szCs w:val="20"/>
        </w:rPr>
        <w:t xml:space="preserve"> in what was our largest contribution, (3) </w:t>
      </w:r>
      <w:r w:rsidR="004F4FF6" w:rsidRPr="007D17C0">
        <w:rPr>
          <w:sz w:val="20"/>
          <w:szCs w:val="20"/>
        </w:rPr>
        <w:t xml:space="preserve">public opinion research </w:t>
      </w:r>
      <w:r w:rsidR="008D4551" w:rsidRPr="007D17C0">
        <w:rPr>
          <w:sz w:val="20"/>
          <w:szCs w:val="20"/>
        </w:rPr>
        <w:t>and</w:t>
      </w:r>
      <w:r w:rsidR="00A0763B" w:rsidRPr="007D17C0">
        <w:rPr>
          <w:sz w:val="20"/>
          <w:szCs w:val="20"/>
        </w:rPr>
        <w:t xml:space="preserve"> message</w:t>
      </w:r>
      <w:r w:rsidR="00E951A4" w:rsidRPr="007D17C0">
        <w:rPr>
          <w:sz w:val="20"/>
          <w:szCs w:val="20"/>
        </w:rPr>
        <w:t xml:space="preserve"> development</w:t>
      </w:r>
      <w:r w:rsidR="008D4551" w:rsidRPr="007D17C0">
        <w:rPr>
          <w:sz w:val="20"/>
          <w:szCs w:val="20"/>
        </w:rPr>
        <w:t xml:space="preserve">.  </w:t>
      </w:r>
    </w:p>
    <w:p w:rsidR="00E318AB" w:rsidRPr="009A7668" w:rsidRDefault="008057BB" w:rsidP="00847F98">
      <w:pPr>
        <w:rPr>
          <w:sz w:val="20"/>
          <w:szCs w:val="20"/>
        </w:rPr>
      </w:pPr>
      <w:r w:rsidRPr="006C56B1">
        <w:rPr>
          <w:rFonts w:cs="Times New Roman"/>
          <w:sz w:val="20"/>
          <w:szCs w:val="20"/>
          <w:u w:val="single"/>
        </w:rPr>
        <w:t>Strengthening defense, offense and s</w:t>
      </w:r>
      <w:r w:rsidR="002631DB" w:rsidRPr="006C56B1">
        <w:rPr>
          <w:rFonts w:cs="Times New Roman"/>
          <w:sz w:val="20"/>
          <w:szCs w:val="20"/>
          <w:u w:val="single"/>
        </w:rPr>
        <w:t>tate</w:t>
      </w:r>
      <w:r w:rsidR="00C926A7" w:rsidRPr="006C56B1">
        <w:rPr>
          <w:rFonts w:cs="Times New Roman"/>
          <w:sz w:val="20"/>
          <w:szCs w:val="20"/>
          <w:u w:val="single"/>
        </w:rPr>
        <w:t xml:space="preserve"> </w:t>
      </w:r>
      <w:r w:rsidRPr="006C56B1">
        <w:rPr>
          <w:rFonts w:cs="Times New Roman"/>
          <w:sz w:val="20"/>
          <w:szCs w:val="20"/>
          <w:u w:val="single"/>
        </w:rPr>
        <w:t>c</w:t>
      </w:r>
      <w:r w:rsidR="002631DB" w:rsidRPr="006C56B1">
        <w:rPr>
          <w:rFonts w:cs="Times New Roman"/>
          <w:sz w:val="20"/>
          <w:szCs w:val="20"/>
          <w:u w:val="single"/>
        </w:rPr>
        <w:t>apacity:</w:t>
      </w:r>
      <w:r w:rsidR="002631DB" w:rsidRPr="006C56B1">
        <w:rPr>
          <w:rFonts w:cs="Times New Roman"/>
          <w:sz w:val="20"/>
          <w:szCs w:val="20"/>
        </w:rPr>
        <w:t xml:space="preserve">  </w:t>
      </w:r>
      <w:r w:rsidR="00E94A87" w:rsidRPr="009A7668">
        <w:rPr>
          <w:rFonts w:cs="Times New Roman"/>
          <w:sz w:val="20"/>
          <w:szCs w:val="20"/>
        </w:rPr>
        <w:t>W</w:t>
      </w:r>
      <w:r w:rsidR="006F5BA4" w:rsidRPr="009A7668">
        <w:rPr>
          <w:rFonts w:cs="Times New Roman"/>
          <w:sz w:val="20"/>
          <w:szCs w:val="20"/>
        </w:rPr>
        <w:t xml:space="preserve">e supported </w:t>
      </w:r>
      <w:r w:rsidR="00E94A87" w:rsidRPr="009A7668">
        <w:rPr>
          <w:rFonts w:cs="Times New Roman"/>
          <w:sz w:val="20"/>
          <w:szCs w:val="20"/>
        </w:rPr>
        <w:t xml:space="preserve">the Brennan Center </w:t>
      </w:r>
      <w:r w:rsidR="00FD0A2A" w:rsidRPr="009A7668">
        <w:rPr>
          <w:rFonts w:cs="Times New Roman"/>
          <w:sz w:val="20"/>
          <w:szCs w:val="20"/>
        </w:rPr>
        <w:t xml:space="preserve">which produced </w:t>
      </w:r>
      <w:r w:rsidR="006E28CF" w:rsidRPr="009A7668">
        <w:rPr>
          <w:rFonts w:cs="Times New Roman"/>
          <w:sz w:val="20"/>
          <w:szCs w:val="20"/>
        </w:rPr>
        <w:t xml:space="preserve">influential </w:t>
      </w:r>
      <w:r w:rsidR="00E94A87" w:rsidRPr="009A7668">
        <w:rPr>
          <w:rFonts w:cs="Times New Roman"/>
          <w:sz w:val="20"/>
          <w:szCs w:val="20"/>
        </w:rPr>
        <w:t xml:space="preserve">research on </w:t>
      </w:r>
      <w:r w:rsidR="00680D20" w:rsidRPr="009A7668">
        <w:rPr>
          <w:rFonts w:cs="Times New Roman"/>
          <w:sz w:val="20"/>
          <w:szCs w:val="20"/>
        </w:rPr>
        <w:t>the restrictive laws</w:t>
      </w:r>
      <w:r w:rsidR="00AF0B8A" w:rsidRPr="009A7668">
        <w:rPr>
          <w:rFonts w:cs="Times New Roman"/>
          <w:sz w:val="20"/>
          <w:szCs w:val="20"/>
        </w:rPr>
        <w:t>,</w:t>
      </w:r>
      <w:r w:rsidR="003E7BF0" w:rsidRPr="009A7668">
        <w:rPr>
          <w:rStyle w:val="FootnoteReference"/>
          <w:rFonts w:cs="Times New Roman"/>
          <w:sz w:val="20"/>
          <w:szCs w:val="20"/>
        </w:rPr>
        <w:footnoteReference w:id="7"/>
      </w:r>
      <w:r w:rsidR="00680D20" w:rsidRPr="009A7668">
        <w:rPr>
          <w:rFonts w:cs="Times New Roman"/>
          <w:sz w:val="20"/>
          <w:szCs w:val="20"/>
        </w:rPr>
        <w:t xml:space="preserve"> </w:t>
      </w:r>
      <w:r w:rsidR="00B342EF" w:rsidRPr="009A7668">
        <w:rPr>
          <w:rFonts w:cs="Times New Roman"/>
          <w:sz w:val="20"/>
          <w:szCs w:val="20"/>
        </w:rPr>
        <w:t xml:space="preserve">and </w:t>
      </w:r>
      <w:r w:rsidR="00E94A87" w:rsidRPr="009A7668">
        <w:rPr>
          <w:rFonts w:cs="Times New Roman"/>
          <w:sz w:val="20"/>
          <w:szCs w:val="20"/>
        </w:rPr>
        <w:t>Advancement Project</w:t>
      </w:r>
      <w:r w:rsidR="00E17FC1" w:rsidRPr="009A7668">
        <w:rPr>
          <w:rFonts w:cs="Times New Roman"/>
          <w:sz w:val="20"/>
          <w:szCs w:val="20"/>
        </w:rPr>
        <w:t xml:space="preserve">, </w:t>
      </w:r>
      <w:r w:rsidR="00680D20" w:rsidRPr="009A7668">
        <w:rPr>
          <w:rFonts w:cs="Times New Roman"/>
          <w:sz w:val="20"/>
          <w:szCs w:val="20"/>
        </w:rPr>
        <w:t>the Lawyers’ Committee on Civil Rights</w:t>
      </w:r>
      <w:r w:rsidR="00E17FC1" w:rsidRPr="009A7668">
        <w:rPr>
          <w:rFonts w:cs="Times New Roman"/>
          <w:sz w:val="20"/>
          <w:szCs w:val="20"/>
        </w:rPr>
        <w:t xml:space="preserve"> and the Campaign Legal Center</w:t>
      </w:r>
      <w:r w:rsidR="006F5BA4" w:rsidRPr="009A7668">
        <w:rPr>
          <w:rFonts w:cs="Times New Roman"/>
          <w:sz w:val="20"/>
          <w:szCs w:val="20"/>
        </w:rPr>
        <w:t xml:space="preserve"> </w:t>
      </w:r>
      <w:r w:rsidR="00FD0A2A" w:rsidRPr="009A7668">
        <w:rPr>
          <w:rFonts w:cs="Times New Roman"/>
          <w:sz w:val="20"/>
          <w:szCs w:val="20"/>
        </w:rPr>
        <w:t>who</w:t>
      </w:r>
      <w:r w:rsidR="006F5BA4" w:rsidRPr="009A7668">
        <w:rPr>
          <w:rFonts w:cs="Times New Roman"/>
          <w:sz w:val="20"/>
          <w:szCs w:val="20"/>
        </w:rPr>
        <w:t xml:space="preserve"> litigate</w:t>
      </w:r>
      <w:r w:rsidR="00FD0A2A" w:rsidRPr="009A7668">
        <w:rPr>
          <w:rFonts w:cs="Times New Roman"/>
          <w:sz w:val="20"/>
          <w:szCs w:val="20"/>
        </w:rPr>
        <w:t>d</w:t>
      </w:r>
      <w:r w:rsidR="006F5BA4" w:rsidRPr="009A7668">
        <w:rPr>
          <w:rFonts w:cs="Times New Roman"/>
          <w:sz w:val="20"/>
          <w:szCs w:val="20"/>
        </w:rPr>
        <w:t xml:space="preserve"> them</w:t>
      </w:r>
      <w:r w:rsidR="00CD1BCF" w:rsidRPr="009A7668">
        <w:rPr>
          <w:rFonts w:cs="Times New Roman"/>
          <w:sz w:val="20"/>
          <w:szCs w:val="20"/>
        </w:rPr>
        <w:t xml:space="preserve">. </w:t>
      </w:r>
      <w:r w:rsidR="00AA4FA8" w:rsidRPr="009A7668">
        <w:rPr>
          <w:rFonts w:cs="Times New Roman"/>
          <w:sz w:val="20"/>
          <w:szCs w:val="20"/>
        </w:rPr>
        <w:t>W</w:t>
      </w:r>
      <w:r w:rsidR="006F5BA4" w:rsidRPr="009A7668">
        <w:rPr>
          <w:rFonts w:cs="Times New Roman"/>
          <w:sz w:val="20"/>
          <w:szCs w:val="20"/>
        </w:rPr>
        <w:t xml:space="preserve">e also supported </w:t>
      </w:r>
      <w:r w:rsidR="00E94A87" w:rsidRPr="009A7668">
        <w:rPr>
          <w:rFonts w:cs="Times New Roman"/>
          <w:sz w:val="20"/>
          <w:szCs w:val="20"/>
        </w:rPr>
        <w:t xml:space="preserve">players </w:t>
      </w:r>
      <w:r w:rsidR="002270E0" w:rsidRPr="009A7668">
        <w:rPr>
          <w:rFonts w:cs="Times New Roman"/>
          <w:sz w:val="20"/>
          <w:szCs w:val="20"/>
        </w:rPr>
        <w:t xml:space="preserve">like State Voices </w:t>
      </w:r>
      <w:r w:rsidR="002B07F3" w:rsidRPr="009A7668">
        <w:rPr>
          <w:rFonts w:cs="Times New Roman"/>
          <w:sz w:val="20"/>
          <w:szCs w:val="20"/>
        </w:rPr>
        <w:t>and Common Cause</w:t>
      </w:r>
      <w:r w:rsidR="001D7095" w:rsidRPr="009A7668">
        <w:rPr>
          <w:rFonts w:cs="Times New Roman"/>
          <w:sz w:val="20"/>
          <w:szCs w:val="20"/>
        </w:rPr>
        <w:t>,</w:t>
      </w:r>
      <w:r w:rsidR="002B07F3" w:rsidRPr="009A7668">
        <w:rPr>
          <w:rFonts w:cs="Times New Roman"/>
          <w:sz w:val="20"/>
          <w:szCs w:val="20"/>
        </w:rPr>
        <w:t xml:space="preserve"> </w:t>
      </w:r>
      <w:r w:rsidR="00E17FC1" w:rsidRPr="009A7668">
        <w:rPr>
          <w:rFonts w:cs="Times New Roman"/>
          <w:sz w:val="20"/>
          <w:szCs w:val="20"/>
        </w:rPr>
        <w:t>who had</w:t>
      </w:r>
      <w:r w:rsidR="00E94A87" w:rsidRPr="009A7668">
        <w:rPr>
          <w:rFonts w:cs="Times New Roman"/>
          <w:sz w:val="20"/>
          <w:szCs w:val="20"/>
        </w:rPr>
        <w:t xml:space="preserve"> reach into the state level</w:t>
      </w:r>
      <w:r w:rsidR="009F0AFC" w:rsidRPr="009A7668">
        <w:rPr>
          <w:rFonts w:cs="Times New Roman"/>
          <w:sz w:val="20"/>
          <w:szCs w:val="20"/>
        </w:rPr>
        <w:t>,</w:t>
      </w:r>
      <w:r w:rsidR="00E94A87" w:rsidRPr="009A7668">
        <w:rPr>
          <w:rFonts w:cs="Times New Roman"/>
          <w:sz w:val="20"/>
          <w:szCs w:val="20"/>
        </w:rPr>
        <w:t xml:space="preserve"> where most of these battles were taking place</w:t>
      </w:r>
      <w:r w:rsidR="009F0AFC" w:rsidRPr="009A7668">
        <w:rPr>
          <w:rFonts w:cs="Times New Roman"/>
          <w:sz w:val="20"/>
          <w:szCs w:val="20"/>
        </w:rPr>
        <w:t xml:space="preserve">, </w:t>
      </w:r>
      <w:r w:rsidR="00435FDC" w:rsidRPr="009A7668">
        <w:rPr>
          <w:rFonts w:cs="Times New Roman"/>
          <w:sz w:val="20"/>
          <w:szCs w:val="20"/>
        </w:rPr>
        <w:t xml:space="preserve">to </w:t>
      </w:r>
      <w:r w:rsidR="002756C1" w:rsidRPr="009A7668">
        <w:rPr>
          <w:rFonts w:cs="Times New Roman"/>
          <w:sz w:val="20"/>
          <w:szCs w:val="20"/>
        </w:rPr>
        <w:t xml:space="preserve">build </w:t>
      </w:r>
      <w:r w:rsidR="00AA4FA8" w:rsidRPr="009A7668">
        <w:rPr>
          <w:rFonts w:cs="Times New Roman"/>
          <w:sz w:val="20"/>
          <w:szCs w:val="20"/>
        </w:rPr>
        <w:t>state groups’</w:t>
      </w:r>
      <w:r w:rsidR="002756C1" w:rsidRPr="009A7668">
        <w:rPr>
          <w:rFonts w:cs="Times New Roman"/>
          <w:sz w:val="20"/>
          <w:szCs w:val="20"/>
        </w:rPr>
        <w:t xml:space="preserve"> capacity and </w:t>
      </w:r>
      <w:r w:rsidR="00AA4FA8" w:rsidRPr="009A7668">
        <w:rPr>
          <w:rFonts w:cs="Times New Roman"/>
          <w:sz w:val="20"/>
          <w:szCs w:val="20"/>
        </w:rPr>
        <w:t xml:space="preserve">also </w:t>
      </w:r>
      <w:r w:rsidR="002756C1" w:rsidRPr="009A7668">
        <w:rPr>
          <w:rFonts w:cs="Times New Roman"/>
          <w:sz w:val="20"/>
          <w:szCs w:val="20"/>
        </w:rPr>
        <w:t xml:space="preserve">to </w:t>
      </w:r>
      <w:r w:rsidR="006546C5" w:rsidRPr="009A7668">
        <w:rPr>
          <w:rFonts w:cs="Times New Roman"/>
          <w:sz w:val="20"/>
          <w:szCs w:val="20"/>
        </w:rPr>
        <w:t>guide</w:t>
      </w:r>
      <w:r w:rsidR="00E17FC1" w:rsidRPr="009A7668">
        <w:rPr>
          <w:rFonts w:cs="Times New Roman"/>
          <w:sz w:val="20"/>
          <w:szCs w:val="20"/>
        </w:rPr>
        <w:t xml:space="preserve"> </w:t>
      </w:r>
      <w:r w:rsidR="00435FDC" w:rsidRPr="009A7668">
        <w:rPr>
          <w:rFonts w:cs="Times New Roman"/>
          <w:sz w:val="20"/>
          <w:szCs w:val="20"/>
        </w:rPr>
        <w:t xml:space="preserve">national </w:t>
      </w:r>
      <w:r w:rsidR="00E17FC1" w:rsidRPr="009A7668">
        <w:rPr>
          <w:rFonts w:cs="Times New Roman"/>
          <w:sz w:val="20"/>
          <w:szCs w:val="20"/>
        </w:rPr>
        <w:t xml:space="preserve">organizations </w:t>
      </w:r>
      <w:r w:rsidR="009F1F5E" w:rsidRPr="009A7668">
        <w:rPr>
          <w:rFonts w:cs="Times New Roman"/>
          <w:sz w:val="20"/>
          <w:szCs w:val="20"/>
        </w:rPr>
        <w:t xml:space="preserve">now </w:t>
      </w:r>
      <w:r w:rsidR="008A1B48" w:rsidRPr="009A7668">
        <w:rPr>
          <w:rFonts w:cs="Times New Roman"/>
          <w:sz w:val="20"/>
          <w:szCs w:val="20"/>
        </w:rPr>
        <w:t xml:space="preserve">engaging in </w:t>
      </w:r>
      <w:r w:rsidR="00E17FC1" w:rsidRPr="009A7668">
        <w:rPr>
          <w:rFonts w:cs="Times New Roman"/>
          <w:sz w:val="20"/>
          <w:szCs w:val="20"/>
        </w:rPr>
        <w:t xml:space="preserve">substantially </w:t>
      </w:r>
      <w:r w:rsidR="008A1B48" w:rsidRPr="009A7668">
        <w:rPr>
          <w:rFonts w:cs="Times New Roman"/>
          <w:sz w:val="20"/>
          <w:szCs w:val="20"/>
        </w:rPr>
        <w:t>more state-level work</w:t>
      </w:r>
      <w:r w:rsidR="00435FDC" w:rsidRPr="009A7668">
        <w:rPr>
          <w:rFonts w:cs="Times New Roman"/>
          <w:sz w:val="20"/>
          <w:szCs w:val="20"/>
        </w:rPr>
        <w:t>.</w:t>
      </w:r>
      <w:r w:rsidR="00293262" w:rsidRPr="009A7668">
        <w:rPr>
          <w:rStyle w:val="FootnoteReference"/>
          <w:rFonts w:cs="Times New Roman"/>
          <w:sz w:val="20"/>
          <w:szCs w:val="20"/>
        </w:rPr>
        <w:footnoteReference w:id="8"/>
      </w:r>
      <w:r w:rsidR="00435FDC" w:rsidRPr="009A7668">
        <w:rPr>
          <w:rFonts w:cs="Times New Roman"/>
          <w:sz w:val="20"/>
          <w:szCs w:val="20"/>
        </w:rPr>
        <w:t xml:space="preserve"> A</w:t>
      </w:r>
      <w:r w:rsidR="006B4BBB" w:rsidRPr="009A7668">
        <w:rPr>
          <w:rFonts w:cs="Times New Roman"/>
          <w:sz w:val="20"/>
          <w:szCs w:val="20"/>
        </w:rPr>
        <w:t xml:space="preserve"> donor-advised intermediary, State Infrastructure Fund</w:t>
      </w:r>
      <w:r w:rsidR="005F37D1" w:rsidRPr="009A7668">
        <w:rPr>
          <w:rFonts w:cs="Times New Roman"/>
          <w:sz w:val="20"/>
          <w:szCs w:val="20"/>
        </w:rPr>
        <w:t xml:space="preserve">, </w:t>
      </w:r>
      <w:r w:rsidR="009F3F7C" w:rsidRPr="009A7668">
        <w:rPr>
          <w:rFonts w:cs="Times New Roman"/>
          <w:sz w:val="20"/>
          <w:szCs w:val="20"/>
        </w:rPr>
        <w:t xml:space="preserve">helped us </w:t>
      </w:r>
      <w:r w:rsidR="00DE6B13" w:rsidRPr="009A7668">
        <w:rPr>
          <w:rFonts w:cs="Times New Roman"/>
          <w:sz w:val="20"/>
          <w:szCs w:val="20"/>
        </w:rPr>
        <w:t xml:space="preserve">reach </w:t>
      </w:r>
      <w:r w:rsidR="006D6257" w:rsidRPr="009A7668">
        <w:rPr>
          <w:rFonts w:cs="Times New Roman"/>
          <w:sz w:val="20"/>
          <w:szCs w:val="20"/>
        </w:rPr>
        <w:t>savvy</w:t>
      </w:r>
      <w:r w:rsidR="00AE3A66" w:rsidRPr="009A7668">
        <w:rPr>
          <w:rFonts w:cs="Times New Roman"/>
          <w:sz w:val="20"/>
          <w:szCs w:val="20"/>
        </w:rPr>
        <w:t xml:space="preserve"> new</w:t>
      </w:r>
      <w:r w:rsidR="006D6257" w:rsidRPr="009A7668">
        <w:rPr>
          <w:rFonts w:cs="Times New Roman"/>
          <w:sz w:val="20"/>
          <w:szCs w:val="20"/>
        </w:rPr>
        <w:t xml:space="preserve"> </w:t>
      </w:r>
      <w:r w:rsidR="00AE3A66" w:rsidRPr="009A7668">
        <w:rPr>
          <w:rFonts w:cs="Times New Roman"/>
          <w:sz w:val="20"/>
          <w:szCs w:val="20"/>
        </w:rPr>
        <w:t xml:space="preserve">grassroots networks </w:t>
      </w:r>
      <w:r w:rsidR="00DE6B13" w:rsidRPr="009A7668">
        <w:rPr>
          <w:rFonts w:cs="Times New Roman"/>
          <w:sz w:val="20"/>
          <w:szCs w:val="20"/>
        </w:rPr>
        <w:t xml:space="preserve">like </w:t>
      </w:r>
      <w:r w:rsidR="006D6257" w:rsidRPr="009A7668">
        <w:rPr>
          <w:rFonts w:cs="Times New Roman"/>
          <w:sz w:val="20"/>
          <w:szCs w:val="20"/>
        </w:rPr>
        <w:t xml:space="preserve">the </w:t>
      </w:r>
      <w:r w:rsidR="00DE6B13" w:rsidRPr="009A7668">
        <w:rPr>
          <w:rFonts w:cs="Times New Roman"/>
          <w:sz w:val="20"/>
          <w:szCs w:val="20"/>
        </w:rPr>
        <w:t>Bus Federation</w:t>
      </w:r>
      <w:r w:rsidR="005F37D1" w:rsidRPr="009A7668">
        <w:rPr>
          <w:rFonts w:cs="Times New Roman"/>
          <w:sz w:val="20"/>
          <w:szCs w:val="20"/>
        </w:rPr>
        <w:t>,</w:t>
      </w:r>
      <w:r w:rsidR="003D6FDA" w:rsidRPr="009A7668">
        <w:rPr>
          <w:rStyle w:val="FootnoteReference"/>
          <w:rFonts w:cs="Times New Roman"/>
          <w:sz w:val="20"/>
          <w:szCs w:val="20"/>
        </w:rPr>
        <w:footnoteReference w:id="9"/>
      </w:r>
      <w:r w:rsidR="005F37D1" w:rsidRPr="009A7668">
        <w:rPr>
          <w:rFonts w:cs="Times New Roman"/>
          <w:sz w:val="20"/>
          <w:szCs w:val="20"/>
        </w:rPr>
        <w:t xml:space="preserve"> </w:t>
      </w:r>
      <w:r w:rsidR="00DE6B13" w:rsidRPr="009A7668">
        <w:rPr>
          <w:rFonts w:cs="Times New Roman"/>
          <w:sz w:val="20"/>
          <w:szCs w:val="20"/>
        </w:rPr>
        <w:t xml:space="preserve">and </w:t>
      </w:r>
      <w:r w:rsidR="00AE3A66" w:rsidRPr="009A7668">
        <w:rPr>
          <w:rFonts w:cs="Times New Roman"/>
          <w:sz w:val="20"/>
          <w:szCs w:val="20"/>
        </w:rPr>
        <w:t>the well-connected election lawyers’ network Fair Elections Legal Network</w:t>
      </w:r>
      <w:r w:rsidR="006E28CF" w:rsidRPr="009A7668">
        <w:rPr>
          <w:rFonts w:cs="Times New Roman"/>
          <w:sz w:val="20"/>
          <w:szCs w:val="20"/>
        </w:rPr>
        <w:t>,</w:t>
      </w:r>
      <w:r w:rsidR="00CB3080">
        <w:rPr>
          <w:rFonts w:cs="Times New Roman"/>
          <w:sz w:val="20"/>
          <w:szCs w:val="20"/>
        </w:rPr>
        <w:t xml:space="preserve"> </w:t>
      </w:r>
      <w:r w:rsidR="000A313E" w:rsidRPr="009A7668">
        <w:rPr>
          <w:rFonts w:cs="Times New Roman"/>
          <w:sz w:val="20"/>
          <w:szCs w:val="20"/>
        </w:rPr>
        <w:t xml:space="preserve">whose focus on </w:t>
      </w:r>
      <w:r w:rsidR="008134B8" w:rsidRPr="009A7668">
        <w:rPr>
          <w:rFonts w:cs="Times New Roman"/>
          <w:sz w:val="20"/>
          <w:szCs w:val="20"/>
        </w:rPr>
        <w:t xml:space="preserve">the </w:t>
      </w:r>
      <w:r w:rsidR="0017425E" w:rsidRPr="009A7668">
        <w:rPr>
          <w:rFonts w:cs="Times New Roman"/>
          <w:sz w:val="20"/>
          <w:szCs w:val="20"/>
        </w:rPr>
        <w:t xml:space="preserve">political </w:t>
      </w:r>
      <w:r w:rsidR="000A313E" w:rsidRPr="009A7668">
        <w:rPr>
          <w:rFonts w:cs="Times New Roman"/>
          <w:sz w:val="20"/>
          <w:szCs w:val="20"/>
        </w:rPr>
        <w:t>engagement</w:t>
      </w:r>
      <w:r w:rsidR="00D728AD" w:rsidRPr="009A7668">
        <w:rPr>
          <w:rFonts w:cs="Times New Roman"/>
          <w:sz w:val="20"/>
          <w:szCs w:val="20"/>
        </w:rPr>
        <w:t xml:space="preserve"> and rights of</w:t>
      </w:r>
      <w:r w:rsidR="00D728AD" w:rsidRPr="009A7668">
        <w:rPr>
          <w:sz w:val="20"/>
          <w:szCs w:val="20"/>
        </w:rPr>
        <w:t xml:space="preserve"> </w:t>
      </w:r>
      <w:r w:rsidR="0052449F" w:rsidRPr="009A7668">
        <w:rPr>
          <w:sz w:val="20"/>
          <w:szCs w:val="20"/>
        </w:rPr>
        <w:t xml:space="preserve">particular </w:t>
      </w:r>
      <w:r w:rsidR="00577FCD" w:rsidRPr="009A7668">
        <w:rPr>
          <w:sz w:val="20"/>
          <w:szCs w:val="20"/>
        </w:rPr>
        <w:t xml:space="preserve">targeted </w:t>
      </w:r>
      <w:r w:rsidR="0052449F" w:rsidRPr="009A7668">
        <w:rPr>
          <w:sz w:val="20"/>
          <w:szCs w:val="20"/>
        </w:rPr>
        <w:t xml:space="preserve">constituencies </w:t>
      </w:r>
      <w:r w:rsidR="00577FCD" w:rsidRPr="009A7668">
        <w:rPr>
          <w:sz w:val="20"/>
          <w:szCs w:val="20"/>
        </w:rPr>
        <w:t xml:space="preserve">(here, youth), </w:t>
      </w:r>
      <w:r w:rsidR="008134B8" w:rsidRPr="009A7668">
        <w:rPr>
          <w:sz w:val="20"/>
          <w:szCs w:val="20"/>
        </w:rPr>
        <w:t xml:space="preserve">as well as their </w:t>
      </w:r>
      <w:r w:rsidR="0052449F" w:rsidRPr="009A7668">
        <w:rPr>
          <w:sz w:val="20"/>
          <w:szCs w:val="20"/>
        </w:rPr>
        <w:t>connections to national groups, was now especially relevant.</w:t>
      </w:r>
      <w:r w:rsidR="00285C60" w:rsidRPr="009A7668">
        <w:rPr>
          <w:sz w:val="20"/>
          <w:szCs w:val="20"/>
        </w:rPr>
        <w:t xml:space="preserve"> </w:t>
      </w:r>
      <w:r w:rsidR="00124A24" w:rsidRPr="009A7668">
        <w:rPr>
          <w:sz w:val="20"/>
          <w:szCs w:val="20"/>
        </w:rPr>
        <w:t xml:space="preserve">While </w:t>
      </w:r>
      <w:r w:rsidR="00AB594A" w:rsidRPr="009A7668">
        <w:rPr>
          <w:sz w:val="20"/>
          <w:szCs w:val="20"/>
        </w:rPr>
        <w:t>support</w:t>
      </w:r>
      <w:r w:rsidR="00124A24" w:rsidRPr="009A7668">
        <w:rPr>
          <w:sz w:val="20"/>
          <w:szCs w:val="20"/>
        </w:rPr>
        <w:t>ing</w:t>
      </w:r>
      <w:r w:rsidR="00AB594A" w:rsidRPr="009A7668">
        <w:rPr>
          <w:sz w:val="20"/>
          <w:szCs w:val="20"/>
        </w:rPr>
        <w:t xml:space="preserve"> the field’s defensive work, we </w:t>
      </w:r>
      <w:r w:rsidR="00712646" w:rsidRPr="009A7668">
        <w:rPr>
          <w:sz w:val="20"/>
          <w:szCs w:val="20"/>
        </w:rPr>
        <w:t xml:space="preserve">emphasized to </w:t>
      </w:r>
      <w:r w:rsidR="00AB594A" w:rsidRPr="009A7668">
        <w:rPr>
          <w:sz w:val="20"/>
          <w:szCs w:val="20"/>
        </w:rPr>
        <w:t>the field the need to focus on affirmative reforms</w:t>
      </w:r>
      <w:r w:rsidR="00712646" w:rsidRPr="009A7668">
        <w:rPr>
          <w:sz w:val="20"/>
          <w:szCs w:val="20"/>
        </w:rPr>
        <w:t xml:space="preserve"> –not only as a way to </w:t>
      </w:r>
      <w:r w:rsidR="00AB594A" w:rsidRPr="009A7668">
        <w:rPr>
          <w:sz w:val="20"/>
          <w:szCs w:val="20"/>
        </w:rPr>
        <w:t xml:space="preserve">expand the </w:t>
      </w:r>
      <w:r w:rsidR="00B30E17" w:rsidRPr="009A7668">
        <w:rPr>
          <w:sz w:val="20"/>
          <w:szCs w:val="20"/>
        </w:rPr>
        <w:t xml:space="preserve">shrinking </w:t>
      </w:r>
      <w:r w:rsidR="00AB594A" w:rsidRPr="009A7668">
        <w:rPr>
          <w:sz w:val="20"/>
          <w:szCs w:val="20"/>
        </w:rPr>
        <w:t>franchise</w:t>
      </w:r>
      <w:r w:rsidR="00213272" w:rsidRPr="009A7668">
        <w:rPr>
          <w:sz w:val="20"/>
          <w:szCs w:val="20"/>
        </w:rPr>
        <w:t xml:space="preserve">, </w:t>
      </w:r>
      <w:r w:rsidR="00B30E17" w:rsidRPr="009A7668">
        <w:rPr>
          <w:sz w:val="20"/>
          <w:szCs w:val="20"/>
        </w:rPr>
        <w:t xml:space="preserve">but also to </w:t>
      </w:r>
      <w:r w:rsidR="00AA4FA8" w:rsidRPr="009A7668">
        <w:rPr>
          <w:sz w:val="20"/>
          <w:szCs w:val="20"/>
        </w:rPr>
        <w:t>strengthen the weak</w:t>
      </w:r>
      <w:r w:rsidR="00E955BC" w:rsidRPr="009A7668">
        <w:rPr>
          <w:sz w:val="20"/>
          <w:szCs w:val="20"/>
        </w:rPr>
        <w:t>ening</w:t>
      </w:r>
      <w:r w:rsidR="00AA4FA8" w:rsidRPr="009A7668">
        <w:rPr>
          <w:sz w:val="20"/>
          <w:szCs w:val="20"/>
        </w:rPr>
        <w:t xml:space="preserve"> </w:t>
      </w:r>
      <w:r w:rsidR="0053284D" w:rsidRPr="009A7668">
        <w:rPr>
          <w:sz w:val="20"/>
          <w:szCs w:val="20"/>
        </w:rPr>
        <w:t>perception</w:t>
      </w:r>
      <w:r w:rsidR="00E955BC" w:rsidRPr="009A7668">
        <w:rPr>
          <w:sz w:val="20"/>
          <w:szCs w:val="20"/>
        </w:rPr>
        <w:t>s</w:t>
      </w:r>
      <w:r w:rsidR="0053284D" w:rsidRPr="009A7668">
        <w:rPr>
          <w:sz w:val="20"/>
          <w:szCs w:val="20"/>
        </w:rPr>
        <w:t xml:space="preserve"> </w:t>
      </w:r>
      <w:r w:rsidR="00213272" w:rsidRPr="009A7668">
        <w:rPr>
          <w:sz w:val="20"/>
          <w:szCs w:val="20"/>
        </w:rPr>
        <w:t xml:space="preserve">of </w:t>
      </w:r>
      <w:r w:rsidR="00F76263" w:rsidRPr="009A7668">
        <w:rPr>
          <w:sz w:val="20"/>
          <w:szCs w:val="20"/>
        </w:rPr>
        <w:t>voting rights</w:t>
      </w:r>
      <w:r w:rsidR="005F37D1" w:rsidRPr="009A7668">
        <w:rPr>
          <w:sz w:val="20"/>
          <w:szCs w:val="20"/>
        </w:rPr>
        <w:t xml:space="preserve">. Grantees </w:t>
      </w:r>
      <w:r w:rsidR="00AB594A" w:rsidRPr="009A7668">
        <w:rPr>
          <w:sz w:val="20"/>
          <w:szCs w:val="20"/>
        </w:rPr>
        <w:t>Brennan Center</w:t>
      </w:r>
      <w:r w:rsidR="001F5FEC" w:rsidRPr="009A7668">
        <w:rPr>
          <w:sz w:val="20"/>
          <w:szCs w:val="20"/>
        </w:rPr>
        <w:t>,</w:t>
      </w:r>
      <w:r w:rsidR="00AB594A" w:rsidRPr="009A7668">
        <w:rPr>
          <w:sz w:val="20"/>
          <w:szCs w:val="20"/>
        </w:rPr>
        <w:t xml:space="preserve"> Advancement Project</w:t>
      </w:r>
      <w:r w:rsidR="001F5FEC" w:rsidRPr="009A7668">
        <w:rPr>
          <w:sz w:val="20"/>
          <w:szCs w:val="20"/>
        </w:rPr>
        <w:t>,</w:t>
      </w:r>
      <w:r w:rsidR="00AB594A" w:rsidRPr="009A7668">
        <w:rPr>
          <w:sz w:val="20"/>
          <w:szCs w:val="20"/>
        </w:rPr>
        <w:t xml:space="preserve"> Common Cause and others </w:t>
      </w:r>
      <w:r w:rsidR="001F5FEC" w:rsidRPr="009A7668">
        <w:rPr>
          <w:sz w:val="20"/>
          <w:szCs w:val="20"/>
        </w:rPr>
        <w:t>press</w:t>
      </w:r>
      <w:r w:rsidR="00F82DC9" w:rsidRPr="009A7668">
        <w:rPr>
          <w:sz w:val="20"/>
          <w:szCs w:val="20"/>
        </w:rPr>
        <w:t>ed</w:t>
      </w:r>
      <w:r w:rsidR="001F5FEC" w:rsidRPr="009A7668">
        <w:rPr>
          <w:sz w:val="20"/>
          <w:szCs w:val="20"/>
        </w:rPr>
        <w:t xml:space="preserve"> for </w:t>
      </w:r>
      <w:r w:rsidR="0091770B" w:rsidRPr="009A7668">
        <w:rPr>
          <w:sz w:val="20"/>
          <w:szCs w:val="20"/>
        </w:rPr>
        <w:t xml:space="preserve">an array of </w:t>
      </w:r>
      <w:r w:rsidR="001F5FEC" w:rsidRPr="009A7668">
        <w:rPr>
          <w:sz w:val="20"/>
          <w:szCs w:val="20"/>
        </w:rPr>
        <w:t>affirmative reforms</w:t>
      </w:r>
      <w:r w:rsidR="002756C1" w:rsidRPr="009A7668">
        <w:rPr>
          <w:sz w:val="20"/>
          <w:szCs w:val="20"/>
        </w:rPr>
        <w:t xml:space="preserve">, while </w:t>
      </w:r>
      <w:r w:rsidR="00AD2301" w:rsidRPr="009A7668">
        <w:rPr>
          <w:sz w:val="20"/>
          <w:szCs w:val="20"/>
        </w:rPr>
        <w:t xml:space="preserve">Demos </w:t>
      </w:r>
      <w:r w:rsidR="0091770B" w:rsidRPr="009A7668">
        <w:rPr>
          <w:sz w:val="20"/>
          <w:szCs w:val="20"/>
        </w:rPr>
        <w:t xml:space="preserve">concentrated on </w:t>
      </w:r>
      <w:r w:rsidR="00A07F6A" w:rsidRPr="009A7668">
        <w:rPr>
          <w:sz w:val="20"/>
          <w:szCs w:val="20"/>
        </w:rPr>
        <w:t>same-d</w:t>
      </w:r>
      <w:r w:rsidR="00AB594A" w:rsidRPr="009A7668">
        <w:rPr>
          <w:sz w:val="20"/>
          <w:szCs w:val="20"/>
        </w:rPr>
        <w:t>ay registration</w:t>
      </w:r>
      <w:r w:rsidR="00E955BC" w:rsidRPr="009A7668">
        <w:rPr>
          <w:sz w:val="20"/>
          <w:szCs w:val="20"/>
        </w:rPr>
        <w:t xml:space="preserve"> (SDR)</w:t>
      </w:r>
      <w:r w:rsidR="00A07F6A" w:rsidRPr="009A7668">
        <w:rPr>
          <w:sz w:val="20"/>
          <w:szCs w:val="20"/>
        </w:rPr>
        <w:t xml:space="preserve">. SDR is considered </w:t>
      </w:r>
      <w:r w:rsidR="0091770B" w:rsidRPr="009A7668">
        <w:rPr>
          <w:sz w:val="20"/>
          <w:szCs w:val="20"/>
        </w:rPr>
        <w:t>the biggest turnout booster</w:t>
      </w:r>
      <w:r w:rsidR="00AB594A" w:rsidRPr="009A7668">
        <w:rPr>
          <w:sz w:val="20"/>
          <w:szCs w:val="20"/>
        </w:rPr>
        <w:t xml:space="preserve"> </w:t>
      </w:r>
      <w:r w:rsidR="005F37D1" w:rsidRPr="009A7668">
        <w:rPr>
          <w:sz w:val="20"/>
          <w:szCs w:val="20"/>
        </w:rPr>
        <w:t xml:space="preserve">at between </w:t>
      </w:r>
      <w:r w:rsidR="00AB594A" w:rsidRPr="009A7668">
        <w:rPr>
          <w:sz w:val="20"/>
          <w:szCs w:val="20"/>
        </w:rPr>
        <w:t>5</w:t>
      </w:r>
      <w:r w:rsidR="005F37D1" w:rsidRPr="009A7668">
        <w:rPr>
          <w:sz w:val="20"/>
          <w:szCs w:val="20"/>
        </w:rPr>
        <w:t xml:space="preserve">% and </w:t>
      </w:r>
      <w:r w:rsidR="00AB594A" w:rsidRPr="009A7668">
        <w:rPr>
          <w:sz w:val="20"/>
          <w:szCs w:val="20"/>
        </w:rPr>
        <w:t>7%</w:t>
      </w:r>
      <w:r w:rsidR="00AD2301" w:rsidRPr="009A7668">
        <w:rPr>
          <w:sz w:val="20"/>
          <w:szCs w:val="20"/>
        </w:rPr>
        <w:t xml:space="preserve">, </w:t>
      </w:r>
      <w:r w:rsidR="0053284D" w:rsidRPr="009A7668">
        <w:rPr>
          <w:sz w:val="20"/>
          <w:szCs w:val="20"/>
        </w:rPr>
        <w:t xml:space="preserve">including turnout of low-income </w:t>
      </w:r>
      <w:r w:rsidR="00AB594A" w:rsidRPr="009A7668">
        <w:rPr>
          <w:sz w:val="20"/>
          <w:szCs w:val="20"/>
        </w:rPr>
        <w:t xml:space="preserve">communities, </w:t>
      </w:r>
      <w:r w:rsidR="00AB594A" w:rsidRPr="009A7668">
        <w:rPr>
          <w:rFonts w:eastAsia="Times New Roman"/>
          <w:sz w:val="20"/>
          <w:szCs w:val="20"/>
          <w:lang w:val="en"/>
        </w:rPr>
        <w:t xml:space="preserve">young people, and voters of color, segments of the electorate with higher rates of geographic mobility than others </w:t>
      </w:r>
      <w:r w:rsidR="00AB594A" w:rsidRPr="009A7668">
        <w:rPr>
          <w:rFonts w:eastAsia="Times New Roman"/>
          <w:sz w:val="20"/>
          <w:szCs w:val="20"/>
          <w:lang w:val="en"/>
        </w:rPr>
        <w:lastRenderedPageBreak/>
        <w:t>in our highly mobile society</w:t>
      </w:r>
      <w:r w:rsidR="003230A6" w:rsidRPr="009A7668">
        <w:rPr>
          <w:rFonts w:eastAsia="Times New Roman"/>
          <w:sz w:val="20"/>
          <w:szCs w:val="20"/>
          <w:lang w:val="en"/>
        </w:rPr>
        <w:t>.</w:t>
      </w:r>
      <w:r w:rsidR="003230A6" w:rsidRPr="009A7668">
        <w:rPr>
          <w:rStyle w:val="FootnoteReference"/>
          <w:rFonts w:eastAsia="Times New Roman"/>
          <w:sz w:val="20"/>
          <w:szCs w:val="20"/>
          <w:lang w:val="en"/>
        </w:rPr>
        <w:footnoteReference w:id="10"/>
      </w:r>
      <w:r w:rsidR="003230A6" w:rsidRPr="009A7668">
        <w:rPr>
          <w:rFonts w:eastAsia="Times New Roman"/>
          <w:sz w:val="20"/>
          <w:szCs w:val="20"/>
          <w:lang w:val="en"/>
        </w:rPr>
        <w:t xml:space="preserve"> </w:t>
      </w:r>
      <w:r w:rsidR="00871680" w:rsidRPr="009A7668">
        <w:rPr>
          <w:rFonts w:eastAsia="Times New Roman"/>
          <w:sz w:val="20"/>
          <w:szCs w:val="20"/>
          <w:lang w:val="en"/>
        </w:rPr>
        <w:t xml:space="preserve">Because photo </w:t>
      </w:r>
      <w:r w:rsidR="00B319BB" w:rsidRPr="009A7668">
        <w:rPr>
          <w:sz w:val="20"/>
          <w:szCs w:val="20"/>
        </w:rPr>
        <w:t xml:space="preserve">ID policies loomed larger than other regressive </w:t>
      </w:r>
      <w:r w:rsidR="00BD69F6" w:rsidRPr="009A7668">
        <w:rPr>
          <w:sz w:val="20"/>
          <w:szCs w:val="20"/>
        </w:rPr>
        <w:t>measures and cutbacks</w:t>
      </w:r>
      <w:r w:rsidR="00B319BB" w:rsidRPr="009A7668">
        <w:rPr>
          <w:sz w:val="20"/>
          <w:szCs w:val="20"/>
        </w:rPr>
        <w:t xml:space="preserve">, </w:t>
      </w:r>
      <w:r w:rsidR="00421920" w:rsidRPr="009A7668">
        <w:rPr>
          <w:sz w:val="20"/>
          <w:szCs w:val="20"/>
        </w:rPr>
        <w:t>with its “poll tax” like cost</w:t>
      </w:r>
      <w:r w:rsidR="00871680" w:rsidRPr="009A7668">
        <w:rPr>
          <w:sz w:val="20"/>
          <w:szCs w:val="20"/>
        </w:rPr>
        <w:t>s</w:t>
      </w:r>
      <w:r w:rsidR="00385009" w:rsidRPr="009A7668">
        <w:rPr>
          <w:sz w:val="20"/>
          <w:szCs w:val="20"/>
        </w:rPr>
        <w:t>,</w:t>
      </w:r>
      <w:r w:rsidR="00385009" w:rsidRPr="009A7668">
        <w:rPr>
          <w:rStyle w:val="FootnoteReference"/>
          <w:sz w:val="20"/>
          <w:szCs w:val="20"/>
        </w:rPr>
        <w:footnoteReference w:id="11"/>
      </w:r>
      <w:r w:rsidR="00BF7191" w:rsidRPr="009A7668">
        <w:rPr>
          <w:sz w:val="20"/>
          <w:szCs w:val="20"/>
        </w:rPr>
        <w:t xml:space="preserve"> </w:t>
      </w:r>
      <w:r w:rsidR="00B319BB" w:rsidRPr="009A7668">
        <w:rPr>
          <w:sz w:val="20"/>
          <w:szCs w:val="20"/>
        </w:rPr>
        <w:t xml:space="preserve">we </w:t>
      </w:r>
      <w:r w:rsidR="00DD2A82" w:rsidRPr="009A7668">
        <w:rPr>
          <w:sz w:val="20"/>
          <w:szCs w:val="20"/>
        </w:rPr>
        <w:t xml:space="preserve">concentrated resources </w:t>
      </w:r>
      <w:r w:rsidR="00D53C8D" w:rsidRPr="009A7668">
        <w:rPr>
          <w:sz w:val="20"/>
          <w:szCs w:val="20"/>
        </w:rPr>
        <w:t xml:space="preserve">on </w:t>
      </w:r>
      <w:r w:rsidR="008056BB" w:rsidRPr="009A7668">
        <w:rPr>
          <w:sz w:val="20"/>
          <w:szCs w:val="20"/>
        </w:rPr>
        <w:t>keeping ID measures at bay</w:t>
      </w:r>
      <w:r w:rsidR="008A1B48" w:rsidRPr="009A7668">
        <w:rPr>
          <w:sz w:val="20"/>
          <w:szCs w:val="20"/>
        </w:rPr>
        <w:t xml:space="preserve"> by</w:t>
      </w:r>
      <w:r w:rsidR="00180A86" w:rsidRPr="009A7668">
        <w:rPr>
          <w:sz w:val="20"/>
          <w:szCs w:val="20"/>
        </w:rPr>
        <w:t xml:space="preserve"> </w:t>
      </w:r>
      <w:r w:rsidR="00B319BB" w:rsidRPr="009A7668">
        <w:rPr>
          <w:sz w:val="20"/>
          <w:szCs w:val="20"/>
        </w:rPr>
        <w:t>support</w:t>
      </w:r>
      <w:r w:rsidR="00180A86" w:rsidRPr="009A7668">
        <w:rPr>
          <w:sz w:val="20"/>
          <w:szCs w:val="20"/>
        </w:rPr>
        <w:t>ing litigation a</w:t>
      </w:r>
      <w:r w:rsidR="006A7E56" w:rsidRPr="009A7668">
        <w:rPr>
          <w:sz w:val="20"/>
          <w:szCs w:val="20"/>
        </w:rPr>
        <w:t xml:space="preserve">s well as </w:t>
      </w:r>
      <w:r w:rsidR="0029466E" w:rsidRPr="009A7668">
        <w:rPr>
          <w:sz w:val="20"/>
          <w:szCs w:val="20"/>
        </w:rPr>
        <w:t>research</w:t>
      </w:r>
      <w:r w:rsidR="005D144B" w:rsidRPr="009A7668">
        <w:rPr>
          <w:sz w:val="20"/>
          <w:szCs w:val="20"/>
        </w:rPr>
        <w:t xml:space="preserve"> </w:t>
      </w:r>
      <w:r w:rsidR="003D5CC0" w:rsidRPr="009A7668">
        <w:rPr>
          <w:sz w:val="20"/>
          <w:szCs w:val="20"/>
        </w:rPr>
        <w:t xml:space="preserve">and education </w:t>
      </w:r>
      <w:r w:rsidR="005D144B" w:rsidRPr="009A7668">
        <w:rPr>
          <w:sz w:val="20"/>
          <w:szCs w:val="20"/>
        </w:rPr>
        <w:t>that would blunt its spread.</w:t>
      </w:r>
      <w:r w:rsidR="00DD2A82" w:rsidRPr="009A7668">
        <w:rPr>
          <w:rStyle w:val="FootnoteReference"/>
          <w:sz w:val="20"/>
          <w:szCs w:val="20"/>
        </w:rPr>
        <w:footnoteReference w:id="12"/>
      </w:r>
      <w:r w:rsidR="00B319BB" w:rsidRPr="009A7668">
        <w:rPr>
          <w:sz w:val="20"/>
          <w:szCs w:val="20"/>
        </w:rPr>
        <w:t xml:space="preserve"> </w:t>
      </w:r>
      <w:r w:rsidR="00B319BB" w:rsidRPr="009A7668">
        <w:rPr>
          <w:sz w:val="20"/>
          <w:szCs w:val="20"/>
          <w:lang w:val="en"/>
        </w:rPr>
        <w:t xml:space="preserve">Given </w:t>
      </w:r>
      <w:r w:rsidR="003836AD" w:rsidRPr="009A7668">
        <w:rPr>
          <w:sz w:val="20"/>
          <w:szCs w:val="20"/>
          <w:lang w:val="en"/>
        </w:rPr>
        <w:t xml:space="preserve">the </w:t>
      </w:r>
      <w:r w:rsidR="00215C38" w:rsidRPr="009A7668">
        <w:rPr>
          <w:sz w:val="20"/>
          <w:szCs w:val="20"/>
          <w:lang w:val="en"/>
        </w:rPr>
        <w:t xml:space="preserve">financial crisis </w:t>
      </w:r>
      <w:r w:rsidR="00EF2A21" w:rsidRPr="009A7668">
        <w:rPr>
          <w:sz w:val="20"/>
          <w:szCs w:val="20"/>
          <w:lang w:val="en"/>
        </w:rPr>
        <w:t xml:space="preserve">and ensuing </w:t>
      </w:r>
      <w:r w:rsidR="00B319BB" w:rsidRPr="009A7668">
        <w:rPr>
          <w:sz w:val="20"/>
          <w:szCs w:val="20"/>
          <w:lang w:val="en"/>
        </w:rPr>
        <w:t xml:space="preserve">recession, </w:t>
      </w:r>
      <w:r w:rsidR="008D5C22" w:rsidRPr="009A7668">
        <w:rPr>
          <w:sz w:val="20"/>
          <w:szCs w:val="20"/>
          <w:lang w:val="en"/>
        </w:rPr>
        <w:t xml:space="preserve">we supported </w:t>
      </w:r>
      <w:r w:rsidR="00531AE6" w:rsidRPr="009A7668">
        <w:rPr>
          <w:sz w:val="20"/>
          <w:szCs w:val="20"/>
          <w:lang w:val="en"/>
        </w:rPr>
        <w:t xml:space="preserve">Demos to work with state fiscal groups and economists to show </w:t>
      </w:r>
      <w:r w:rsidR="008D5C22" w:rsidRPr="009A7668">
        <w:rPr>
          <w:sz w:val="20"/>
          <w:szCs w:val="20"/>
          <w:lang w:val="en"/>
        </w:rPr>
        <w:t>policymakers c</w:t>
      </w:r>
      <w:r w:rsidR="00B319BB" w:rsidRPr="009A7668">
        <w:rPr>
          <w:sz w:val="20"/>
          <w:szCs w:val="20"/>
          <w:lang w:val="en"/>
        </w:rPr>
        <w:t xml:space="preserve">onsidering </w:t>
      </w:r>
      <w:r w:rsidR="008D5C22" w:rsidRPr="009A7668">
        <w:rPr>
          <w:sz w:val="20"/>
          <w:szCs w:val="20"/>
          <w:lang w:val="en"/>
        </w:rPr>
        <w:t xml:space="preserve">ID proposals </w:t>
      </w:r>
      <w:r w:rsidR="00B319BB" w:rsidRPr="009A7668">
        <w:rPr>
          <w:sz w:val="20"/>
          <w:szCs w:val="20"/>
          <w:lang w:val="en"/>
        </w:rPr>
        <w:t xml:space="preserve">the </w:t>
      </w:r>
      <w:r w:rsidR="00FE0881" w:rsidRPr="009A7668">
        <w:rPr>
          <w:sz w:val="20"/>
          <w:szCs w:val="20"/>
          <w:lang w:val="en"/>
        </w:rPr>
        <w:t xml:space="preserve">significant </w:t>
      </w:r>
      <w:r w:rsidR="008D5C22" w:rsidRPr="009A7668">
        <w:rPr>
          <w:sz w:val="20"/>
          <w:szCs w:val="20"/>
          <w:lang w:val="en"/>
        </w:rPr>
        <w:t xml:space="preserve">costs of implementing </w:t>
      </w:r>
      <w:r w:rsidR="008A1B48" w:rsidRPr="009A7668">
        <w:rPr>
          <w:sz w:val="20"/>
          <w:szCs w:val="20"/>
          <w:lang w:val="en"/>
        </w:rPr>
        <w:t>those proposals</w:t>
      </w:r>
      <w:r w:rsidR="00481DCF" w:rsidRPr="009A7668">
        <w:rPr>
          <w:sz w:val="20"/>
          <w:szCs w:val="20"/>
          <w:lang w:val="en"/>
        </w:rPr>
        <w:t>.</w:t>
      </w:r>
      <w:r w:rsidR="003230A6" w:rsidRPr="009A7668">
        <w:rPr>
          <w:rStyle w:val="FootnoteReference"/>
          <w:sz w:val="20"/>
          <w:szCs w:val="20"/>
          <w:lang w:val="en"/>
        </w:rPr>
        <w:footnoteReference w:id="13"/>
      </w:r>
      <w:r w:rsidR="00B319BB" w:rsidRPr="009A7668">
        <w:rPr>
          <w:sz w:val="20"/>
          <w:szCs w:val="20"/>
          <w:lang w:val="en"/>
        </w:rPr>
        <w:t xml:space="preserve"> </w:t>
      </w:r>
    </w:p>
    <w:p w:rsidR="00CA6B78" w:rsidRPr="009A7668" w:rsidRDefault="002631DB" w:rsidP="00847F98">
      <w:pPr>
        <w:rPr>
          <w:sz w:val="20"/>
          <w:szCs w:val="20"/>
        </w:rPr>
      </w:pPr>
      <w:r w:rsidRPr="006C56B1">
        <w:rPr>
          <w:sz w:val="20"/>
          <w:szCs w:val="20"/>
          <w:u w:val="single"/>
        </w:rPr>
        <w:t>Election Protection</w:t>
      </w:r>
      <w:r w:rsidRPr="009A7668">
        <w:rPr>
          <w:sz w:val="20"/>
          <w:szCs w:val="20"/>
        </w:rPr>
        <w:t xml:space="preserve">:  </w:t>
      </w:r>
      <w:r w:rsidR="00385009" w:rsidRPr="009A7668">
        <w:rPr>
          <w:sz w:val="20"/>
          <w:szCs w:val="20"/>
        </w:rPr>
        <w:t>G</w:t>
      </w:r>
      <w:r w:rsidR="00F66B5C" w:rsidRPr="009A7668">
        <w:rPr>
          <w:sz w:val="20"/>
          <w:szCs w:val="20"/>
        </w:rPr>
        <w:t xml:space="preserve">rassroots anti-voter fraud campaigns </w:t>
      </w:r>
      <w:r w:rsidR="00E955BC" w:rsidRPr="009A7668">
        <w:rPr>
          <w:sz w:val="20"/>
          <w:szCs w:val="20"/>
        </w:rPr>
        <w:t xml:space="preserve">also </w:t>
      </w:r>
      <w:r w:rsidR="00B72AF5" w:rsidRPr="009A7668">
        <w:rPr>
          <w:sz w:val="20"/>
          <w:szCs w:val="20"/>
        </w:rPr>
        <w:t xml:space="preserve">began to appear. </w:t>
      </w:r>
      <w:r w:rsidR="005F63DE" w:rsidRPr="009A7668">
        <w:rPr>
          <w:sz w:val="20"/>
          <w:szCs w:val="20"/>
        </w:rPr>
        <w:t xml:space="preserve">For example, </w:t>
      </w:r>
      <w:r w:rsidR="008A1776" w:rsidRPr="009A7668">
        <w:rPr>
          <w:sz w:val="20"/>
          <w:szCs w:val="20"/>
        </w:rPr>
        <w:t xml:space="preserve">Tea Party group </w:t>
      </w:r>
      <w:r w:rsidR="00970AB7" w:rsidRPr="009A7668">
        <w:rPr>
          <w:sz w:val="20"/>
          <w:szCs w:val="20"/>
        </w:rPr>
        <w:t>True the Vote</w:t>
      </w:r>
      <w:r w:rsidR="005F63DE" w:rsidRPr="009A7668">
        <w:rPr>
          <w:sz w:val="20"/>
          <w:szCs w:val="20"/>
        </w:rPr>
        <w:t xml:space="preserve">, which promised </w:t>
      </w:r>
      <w:r w:rsidR="008B7AB5" w:rsidRPr="009A7668">
        <w:rPr>
          <w:sz w:val="20"/>
          <w:szCs w:val="20"/>
        </w:rPr>
        <w:t>po</w:t>
      </w:r>
      <w:r w:rsidR="004E0B53" w:rsidRPr="009A7668">
        <w:rPr>
          <w:sz w:val="20"/>
          <w:szCs w:val="20"/>
        </w:rPr>
        <w:t>l</w:t>
      </w:r>
      <w:r w:rsidR="008B7AB5" w:rsidRPr="009A7668">
        <w:rPr>
          <w:sz w:val="20"/>
          <w:szCs w:val="20"/>
        </w:rPr>
        <w:t xml:space="preserve">l monitors </w:t>
      </w:r>
      <w:r w:rsidR="005F63DE" w:rsidRPr="009A7668">
        <w:rPr>
          <w:sz w:val="20"/>
          <w:szCs w:val="20"/>
        </w:rPr>
        <w:t>who would a</w:t>
      </w:r>
      <w:r w:rsidR="008B7AB5" w:rsidRPr="009A7668">
        <w:rPr>
          <w:sz w:val="20"/>
          <w:szCs w:val="20"/>
        </w:rPr>
        <w:t xml:space="preserve">ssert </w:t>
      </w:r>
      <w:r w:rsidR="00C50DA7" w:rsidRPr="009A7668">
        <w:rPr>
          <w:sz w:val="20"/>
          <w:szCs w:val="20"/>
        </w:rPr>
        <w:t>one million</w:t>
      </w:r>
      <w:r w:rsidR="00C40DC7" w:rsidRPr="009A7668">
        <w:rPr>
          <w:sz w:val="20"/>
          <w:szCs w:val="20"/>
        </w:rPr>
        <w:t xml:space="preserve"> challenge</w:t>
      </w:r>
      <w:r w:rsidR="008B7AB5" w:rsidRPr="009A7668">
        <w:rPr>
          <w:sz w:val="20"/>
          <w:szCs w:val="20"/>
        </w:rPr>
        <w:t xml:space="preserve">s to registered voters </w:t>
      </w:r>
      <w:r w:rsidR="00CE0C0C" w:rsidRPr="009A7668">
        <w:rPr>
          <w:sz w:val="20"/>
          <w:szCs w:val="20"/>
        </w:rPr>
        <w:t xml:space="preserve">in </w:t>
      </w:r>
      <w:r w:rsidR="008B7AB5" w:rsidRPr="009A7668">
        <w:rPr>
          <w:sz w:val="20"/>
          <w:szCs w:val="20"/>
        </w:rPr>
        <w:t>the 2012 election period</w:t>
      </w:r>
      <w:r w:rsidR="00FF0E78" w:rsidRPr="009A7668">
        <w:rPr>
          <w:sz w:val="20"/>
          <w:szCs w:val="20"/>
        </w:rPr>
        <w:t>.</w:t>
      </w:r>
      <w:r w:rsidR="005C554A" w:rsidRPr="009A7668">
        <w:rPr>
          <w:rStyle w:val="FootnoteReference"/>
          <w:sz w:val="20"/>
          <w:szCs w:val="20"/>
        </w:rPr>
        <w:footnoteReference w:id="14"/>
      </w:r>
      <w:r w:rsidR="00C5676D" w:rsidRPr="009A7668">
        <w:rPr>
          <w:sz w:val="20"/>
          <w:szCs w:val="20"/>
        </w:rPr>
        <w:t xml:space="preserve"> In addition, </w:t>
      </w:r>
      <w:r w:rsidR="00385009" w:rsidRPr="009A7668">
        <w:rPr>
          <w:sz w:val="20"/>
          <w:szCs w:val="20"/>
        </w:rPr>
        <w:t xml:space="preserve">all kinds </w:t>
      </w:r>
      <w:r w:rsidR="001807D5" w:rsidRPr="009A7668">
        <w:rPr>
          <w:sz w:val="20"/>
          <w:szCs w:val="20"/>
        </w:rPr>
        <w:t xml:space="preserve">of </w:t>
      </w:r>
      <w:r w:rsidR="00385009" w:rsidRPr="009A7668">
        <w:rPr>
          <w:sz w:val="20"/>
          <w:szCs w:val="20"/>
        </w:rPr>
        <w:t xml:space="preserve">voter </w:t>
      </w:r>
      <w:r w:rsidR="001807D5" w:rsidRPr="009A7668">
        <w:rPr>
          <w:sz w:val="20"/>
          <w:szCs w:val="20"/>
        </w:rPr>
        <w:t xml:space="preserve">misinformation proliferated - </w:t>
      </w:r>
      <w:r w:rsidR="003F4F47" w:rsidRPr="009A7668">
        <w:rPr>
          <w:sz w:val="20"/>
          <w:szCs w:val="20"/>
        </w:rPr>
        <w:t>m</w:t>
      </w:r>
      <w:r w:rsidR="00D40E1C" w:rsidRPr="009A7668">
        <w:rPr>
          <w:sz w:val="20"/>
          <w:szCs w:val="20"/>
        </w:rPr>
        <w:t xml:space="preserve">isleading billboards, radio ads, </w:t>
      </w:r>
      <w:r w:rsidR="00385009" w:rsidRPr="009A7668">
        <w:rPr>
          <w:sz w:val="20"/>
          <w:szCs w:val="20"/>
        </w:rPr>
        <w:t>robo</w:t>
      </w:r>
      <w:r w:rsidR="00D40E1C" w:rsidRPr="009A7668">
        <w:rPr>
          <w:sz w:val="20"/>
          <w:szCs w:val="20"/>
        </w:rPr>
        <w:t>calls</w:t>
      </w:r>
      <w:r w:rsidR="004E0B53" w:rsidRPr="009A7668">
        <w:rPr>
          <w:sz w:val="20"/>
          <w:szCs w:val="20"/>
        </w:rPr>
        <w:t xml:space="preserve"> </w:t>
      </w:r>
      <w:r w:rsidR="00D4328A" w:rsidRPr="009A7668">
        <w:rPr>
          <w:sz w:val="20"/>
          <w:szCs w:val="20"/>
        </w:rPr>
        <w:t xml:space="preserve">– </w:t>
      </w:r>
      <w:r w:rsidR="008A2D24" w:rsidRPr="009A7668">
        <w:rPr>
          <w:sz w:val="20"/>
          <w:szCs w:val="20"/>
        </w:rPr>
        <w:t>most of them blatant a</w:t>
      </w:r>
      <w:r w:rsidR="00B72AF5" w:rsidRPr="009A7668">
        <w:rPr>
          <w:sz w:val="20"/>
          <w:szCs w:val="20"/>
        </w:rPr>
        <w:t xml:space="preserve">ttempts </w:t>
      </w:r>
      <w:r w:rsidR="008A2D24" w:rsidRPr="009A7668">
        <w:rPr>
          <w:sz w:val="20"/>
          <w:szCs w:val="20"/>
        </w:rPr>
        <w:t>to deter</w:t>
      </w:r>
      <w:r w:rsidR="003D5C54" w:rsidRPr="009A7668">
        <w:rPr>
          <w:sz w:val="20"/>
          <w:szCs w:val="20"/>
        </w:rPr>
        <w:t xml:space="preserve"> </w:t>
      </w:r>
      <w:r w:rsidR="004E0B53" w:rsidRPr="009A7668">
        <w:rPr>
          <w:sz w:val="20"/>
          <w:szCs w:val="20"/>
        </w:rPr>
        <w:t>minority voters from voting</w:t>
      </w:r>
      <w:r w:rsidR="001807D5" w:rsidRPr="009A7668">
        <w:rPr>
          <w:sz w:val="20"/>
          <w:szCs w:val="20"/>
        </w:rPr>
        <w:t xml:space="preserve"> in the 2010</w:t>
      </w:r>
      <w:r w:rsidR="00385009" w:rsidRPr="009A7668">
        <w:rPr>
          <w:sz w:val="20"/>
          <w:szCs w:val="20"/>
        </w:rPr>
        <w:t xml:space="preserve"> and </w:t>
      </w:r>
      <w:r w:rsidR="001807D5" w:rsidRPr="009A7668">
        <w:rPr>
          <w:sz w:val="20"/>
          <w:szCs w:val="20"/>
        </w:rPr>
        <w:t>2012 election</w:t>
      </w:r>
      <w:r w:rsidR="00385009" w:rsidRPr="009A7668">
        <w:rPr>
          <w:sz w:val="20"/>
          <w:szCs w:val="20"/>
        </w:rPr>
        <w:t xml:space="preserve"> cycles</w:t>
      </w:r>
      <w:r w:rsidR="001807D5" w:rsidRPr="009A7668">
        <w:rPr>
          <w:sz w:val="20"/>
          <w:szCs w:val="20"/>
        </w:rPr>
        <w:t xml:space="preserve">. We </w:t>
      </w:r>
      <w:r w:rsidR="007369EE" w:rsidRPr="009A7668">
        <w:rPr>
          <w:sz w:val="20"/>
          <w:szCs w:val="20"/>
        </w:rPr>
        <w:t xml:space="preserve">funded </w:t>
      </w:r>
      <w:r w:rsidR="001807D5" w:rsidRPr="009A7668">
        <w:rPr>
          <w:sz w:val="20"/>
          <w:szCs w:val="20"/>
        </w:rPr>
        <w:t xml:space="preserve">research on </w:t>
      </w:r>
      <w:r w:rsidR="00B72AF5" w:rsidRPr="009A7668">
        <w:rPr>
          <w:sz w:val="20"/>
          <w:szCs w:val="20"/>
        </w:rPr>
        <w:t xml:space="preserve">the </w:t>
      </w:r>
      <w:r w:rsidR="00E67A4D" w:rsidRPr="009A7668">
        <w:rPr>
          <w:sz w:val="20"/>
          <w:szCs w:val="20"/>
        </w:rPr>
        <w:t>anti-fraud</w:t>
      </w:r>
      <w:r w:rsidR="001807D5" w:rsidRPr="009A7668">
        <w:rPr>
          <w:sz w:val="20"/>
          <w:szCs w:val="20"/>
        </w:rPr>
        <w:t xml:space="preserve"> groups’ plans,</w:t>
      </w:r>
      <w:r w:rsidR="00B72AF5" w:rsidRPr="009A7668">
        <w:rPr>
          <w:rStyle w:val="FootnoteReference"/>
          <w:sz w:val="20"/>
          <w:szCs w:val="20"/>
        </w:rPr>
        <w:footnoteReference w:id="15"/>
      </w:r>
      <w:r w:rsidR="001807D5" w:rsidRPr="009A7668">
        <w:rPr>
          <w:sz w:val="20"/>
          <w:szCs w:val="20"/>
        </w:rPr>
        <w:t xml:space="preserve"> </w:t>
      </w:r>
      <w:r w:rsidR="000E49F4" w:rsidRPr="009A7668">
        <w:rPr>
          <w:sz w:val="20"/>
          <w:szCs w:val="20"/>
        </w:rPr>
        <w:t xml:space="preserve">advocacy </w:t>
      </w:r>
      <w:r w:rsidR="001807D5" w:rsidRPr="009A7668">
        <w:rPr>
          <w:sz w:val="20"/>
          <w:szCs w:val="20"/>
        </w:rPr>
        <w:t xml:space="preserve">with elections officials </w:t>
      </w:r>
      <w:r w:rsidR="005F63DE" w:rsidRPr="009A7668">
        <w:rPr>
          <w:sz w:val="20"/>
          <w:szCs w:val="20"/>
        </w:rPr>
        <w:t>to prevent</w:t>
      </w:r>
      <w:r w:rsidR="00E67A4D" w:rsidRPr="009A7668">
        <w:rPr>
          <w:sz w:val="20"/>
          <w:szCs w:val="20"/>
        </w:rPr>
        <w:t xml:space="preserve"> </w:t>
      </w:r>
      <w:r w:rsidR="005F63DE" w:rsidRPr="009A7668">
        <w:rPr>
          <w:sz w:val="20"/>
          <w:szCs w:val="20"/>
        </w:rPr>
        <w:t xml:space="preserve">their use of </w:t>
      </w:r>
      <w:r w:rsidR="00E67A4D" w:rsidRPr="009A7668">
        <w:rPr>
          <w:sz w:val="20"/>
          <w:szCs w:val="20"/>
        </w:rPr>
        <w:t>i</w:t>
      </w:r>
      <w:r w:rsidR="001807D5" w:rsidRPr="009A7668">
        <w:rPr>
          <w:sz w:val="20"/>
          <w:szCs w:val="20"/>
        </w:rPr>
        <w:t xml:space="preserve">mproper tactics, and litigation, </w:t>
      </w:r>
      <w:r w:rsidR="00E67A4D" w:rsidRPr="009A7668">
        <w:rPr>
          <w:sz w:val="20"/>
          <w:szCs w:val="20"/>
        </w:rPr>
        <w:t xml:space="preserve">where </w:t>
      </w:r>
      <w:r w:rsidR="001807D5" w:rsidRPr="009A7668">
        <w:rPr>
          <w:sz w:val="20"/>
          <w:szCs w:val="20"/>
        </w:rPr>
        <w:t>necessary, to prevent disfranchisement.</w:t>
      </w:r>
      <w:r w:rsidR="001807D5" w:rsidRPr="009A7668">
        <w:rPr>
          <w:rStyle w:val="FootnoteReference"/>
          <w:sz w:val="20"/>
          <w:szCs w:val="20"/>
        </w:rPr>
        <w:footnoteReference w:id="16"/>
      </w:r>
      <w:r w:rsidR="001807D5" w:rsidRPr="009A7668">
        <w:rPr>
          <w:sz w:val="20"/>
          <w:szCs w:val="20"/>
        </w:rPr>
        <w:t xml:space="preserve"> We also supported placement of properly trained poll monitors and workers at the polls.</w:t>
      </w:r>
      <w:r w:rsidR="001807D5" w:rsidRPr="009A7668">
        <w:rPr>
          <w:rStyle w:val="FootnoteReference"/>
          <w:sz w:val="20"/>
          <w:szCs w:val="20"/>
        </w:rPr>
        <w:footnoteReference w:id="17"/>
      </w:r>
      <w:r w:rsidR="001807D5" w:rsidRPr="009A7668">
        <w:rPr>
          <w:sz w:val="20"/>
          <w:szCs w:val="20"/>
        </w:rPr>
        <w:t xml:space="preserve"> </w:t>
      </w:r>
      <w:r w:rsidR="00B72AF5" w:rsidRPr="009A7668">
        <w:rPr>
          <w:sz w:val="20"/>
          <w:szCs w:val="20"/>
        </w:rPr>
        <w:t xml:space="preserve">The anti-fraud </w:t>
      </w:r>
      <w:r w:rsidR="001807D5" w:rsidRPr="009A7668">
        <w:rPr>
          <w:sz w:val="20"/>
          <w:szCs w:val="20"/>
        </w:rPr>
        <w:t>groups’ threats didn’t ultimately amount to much</w:t>
      </w:r>
      <w:r w:rsidR="00AD3F3D" w:rsidRPr="009A7668">
        <w:rPr>
          <w:sz w:val="20"/>
          <w:szCs w:val="20"/>
        </w:rPr>
        <w:t xml:space="preserve">, </w:t>
      </w:r>
      <w:r w:rsidR="001F0B80" w:rsidRPr="009A7668">
        <w:rPr>
          <w:sz w:val="20"/>
          <w:szCs w:val="20"/>
        </w:rPr>
        <w:t xml:space="preserve">which </w:t>
      </w:r>
      <w:r w:rsidR="005F63DE" w:rsidRPr="009A7668">
        <w:rPr>
          <w:sz w:val="20"/>
          <w:szCs w:val="20"/>
        </w:rPr>
        <w:t xml:space="preserve">many </w:t>
      </w:r>
      <w:r w:rsidR="001807D5" w:rsidRPr="009A7668">
        <w:rPr>
          <w:sz w:val="20"/>
          <w:szCs w:val="20"/>
        </w:rPr>
        <w:t>fairly credit to our grantees’ efforts.</w:t>
      </w:r>
      <w:r w:rsidR="001422DD" w:rsidRPr="009A7668">
        <w:rPr>
          <w:sz w:val="20"/>
          <w:szCs w:val="20"/>
        </w:rPr>
        <w:t xml:space="preserve"> W</w:t>
      </w:r>
      <w:r w:rsidR="00D1159D" w:rsidRPr="009A7668">
        <w:rPr>
          <w:sz w:val="20"/>
          <w:szCs w:val="20"/>
        </w:rPr>
        <w:t xml:space="preserve">e </w:t>
      </w:r>
      <w:r w:rsidR="001422DD" w:rsidRPr="009A7668">
        <w:rPr>
          <w:sz w:val="20"/>
          <w:szCs w:val="20"/>
        </w:rPr>
        <w:t xml:space="preserve">also </w:t>
      </w:r>
      <w:r w:rsidR="001445C8" w:rsidRPr="009A7668">
        <w:rPr>
          <w:sz w:val="20"/>
          <w:szCs w:val="20"/>
        </w:rPr>
        <w:t>reinforc</w:t>
      </w:r>
      <w:r w:rsidR="00D1159D" w:rsidRPr="009A7668">
        <w:rPr>
          <w:sz w:val="20"/>
          <w:szCs w:val="20"/>
        </w:rPr>
        <w:t>ed</w:t>
      </w:r>
      <w:r w:rsidR="001445C8" w:rsidRPr="009A7668">
        <w:rPr>
          <w:sz w:val="20"/>
          <w:szCs w:val="20"/>
        </w:rPr>
        <w:t xml:space="preserve"> </w:t>
      </w:r>
      <w:r w:rsidR="00E26234" w:rsidRPr="009A7668">
        <w:rPr>
          <w:sz w:val="20"/>
          <w:szCs w:val="20"/>
        </w:rPr>
        <w:t xml:space="preserve">Election Protection, </w:t>
      </w:r>
      <w:r w:rsidR="001445C8" w:rsidRPr="009A7668">
        <w:rPr>
          <w:sz w:val="20"/>
          <w:szCs w:val="20"/>
        </w:rPr>
        <w:t>the</w:t>
      </w:r>
      <w:r w:rsidR="00B8177A" w:rsidRPr="009A7668">
        <w:rPr>
          <w:sz w:val="20"/>
          <w:szCs w:val="20"/>
        </w:rPr>
        <w:t xml:space="preserve"> </w:t>
      </w:r>
      <w:r w:rsidR="00F77D89" w:rsidRPr="009A7668">
        <w:rPr>
          <w:sz w:val="20"/>
          <w:szCs w:val="20"/>
        </w:rPr>
        <w:t xml:space="preserve">Lawyers’ Committee-led </w:t>
      </w:r>
      <w:r w:rsidR="004B0838" w:rsidRPr="009A7668">
        <w:rPr>
          <w:sz w:val="20"/>
          <w:szCs w:val="20"/>
        </w:rPr>
        <w:t>voter assistance program</w:t>
      </w:r>
      <w:r w:rsidR="00906BA9" w:rsidRPr="009A7668">
        <w:rPr>
          <w:sz w:val="20"/>
          <w:szCs w:val="20"/>
        </w:rPr>
        <w:t xml:space="preserve">, which is supported by a </w:t>
      </w:r>
      <w:r w:rsidR="00B8177A" w:rsidRPr="009A7668">
        <w:rPr>
          <w:sz w:val="20"/>
          <w:szCs w:val="20"/>
        </w:rPr>
        <w:t xml:space="preserve">coalition of 100 </w:t>
      </w:r>
      <w:r w:rsidR="00BF1976" w:rsidRPr="009A7668">
        <w:rPr>
          <w:sz w:val="20"/>
          <w:szCs w:val="20"/>
        </w:rPr>
        <w:t xml:space="preserve">member </w:t>
      </w:r>
      <w:r w:rsidR="00B8177A" w:rsidRPr="009A7668">
        <w:rPr>
          <w:sz w:val="20"/>
          <w:szCs w:val="20"/>
        </w:rPr>
        <w:t>organizations</w:t>
      </w:r>
      <w:r w:rsidR="009B0217" w:rsidRPr="009A7668">
        <w:rPr>
          <w:sz w:val="20"/>
          <w:szCs w:val="20"/>
        </w:rPr>
        <w:t xml:space="preserve"> </w:t>
      </w:r>
      <w:r w:rsidR="00290C5D" w:rsidRPr="009A7668">
        <w:rPr>
          <w:sz w:val="20"/>
          <w:szCs w:val="20"/>
        </w:rPr>
        <w:t xml:space="preserve">and several thousand </w:t>
      </w:r>
      <w:r w:rsidR="00BF1976" w:rsidRPr="009A7668">
        <w:rPr>
          <w:sz w:val="20"/>
          <w:szCs w:val="20"/>
        </w:rPr>
        <w:t>attorney volunteers</w:t>
      </w:r>
      <w:r w:rsidR="0093118E" w:rsidRPr="009A7668">
        <w:rPr>
          <w:sz w:val="20"/>
          <w:szCs w:val="20"/>
        </w:rPr>
        <w:t>.</w:t>
      </w:r>
      <w:r w:rsidR="00341768" w:rsidRPr="009A7668">
        <w:rPr>
          <w:sz w:val="20"/>
          <w:szCs w:val="20"/>
        </w:rPr>
        <w:t xml:space="preserve"> </w:t>
      </w:r>
      <w:r w:rsidR="0030251A" w:rsidRPr="009A7668">
        <w:rPr>
          <w:sz w:val="20"/>
          <w:szCs w:val="20"/>
        </w:rPr>
        <w:t xml:space="preserve">We supported </w:t>
      </w:r>
      <w:r w:rsidR="000F13A3" w:rsidRPr="009A7668">
        <w:rPr>
          <w:sz w:val="20"/>
          <w:szCs w:val="20"/>
        </w:rPr>
        <w:t xml:space="preserve">(1) </w:t>
      </w:r>
      <w:r w:rsidR="009B0217" w:rsidRPr="009A7668">
        <w:rPr>
          <w:sz w:val="20"/>
          <w:szCs w:val="20"/>
        </w:rPr>
        <w:t>the expansion of its</w:t>
      </w:r>
      <w:r w:rsidR="00853E6D" w:rsidRPr="009A7668">
        <w:rPr>
          <w:sz w:val="20"/>
          <w:szCs w:val="20"/>
        </w:rPr>
        <w:t xml:space="preserve"> centerpiece</w:t>
      </w:r>
      <w:r w:rsidR="00A010C5" w:rsidRPr="009A7668">
        <w:rPr>
          <w:sz w:val="20"/>
          <w:szCs w:val="20"/>
        </w:rPr>
        <w:t xml:space="preserve"> -</w:t>
      </w:r>
      <w:r w:rsidR="00853E6D" w:rsidRPr="009A7668">
        <w:rPr>
          <w:sz w:val="20"/>
          <w:szCs w:val="20"/>
        </w:rPr>
        <w:t xml:space="preserve"> its voter services and complaints </w:t>
      </w:r>
      <w:r w:rsidR="001445C8" w:rsidRPr="009A7668">
        <w:rPr>
          <w:sz w:val="20"/>
          <w:szCs w:val="20"/>
        </w:rPr>
        <w:t>hotline</w:t>
      </w:r>
      <w:r w:rsidR="000F61B4" w:rsidRPr="009A7668">
        <w:rPr>
          <w:sz w:val="20"/>
          <w:szCs w:val="20"/>
        </w:rPr>
        <w:t xml:space="preserve"> (1-8</w:t>
      </w:r>
      <w:r w:rsidR="00585DCE" w:rsidRPr="009A7668">
        <w:rPr>
          <w:sz w:val="20"/>
          <w:szCs w:val="20"/>
        </w:rPr>
        <w:t>66</w:t>
      </w:r>
      <w:r w:rsidR="000F61B4" w:rsidRPr="009A7668">
        <w:rPr>
          <w:sz w:val="20"/>
          <w:szCs w:val="20"/>
        </w:rPr>
        <w:t>-OUR-VOTE)</w:t>
      </w:r>
      <w:r w:rsidR="00A010C5" w:rsidRPr="009A7668">
        <w:rPr>
          <w:sz w:val="20"/>
          <w:szCs w:val="20"/>
        </w:rPr>
        <w:t xml:space="preserve"> - </w:t>
      </w:r>
      <w:r w:rsidR="00177473" w:rsidRPr="009A7668">
        <w:rPr>
          <w:sz w:val="20"/>
          <w:szCs w:val="20"/>
        </w:rPr>
        <w:t>in</w:t>
      </w:r>
      <w:r w:rsidR="009B0217" w:rsidRPr="009A7668">
        <w:rPr>
          <w:sz w:val="20"/>
          <w:szCs w:val="20"/>
        </w:rPr>
        <w:t>to</w:t>
      </w:r>
      <w:r w:rsidR="00177473" w:rsidRPr="009A7668">
        <w:rPr>
          <w:sz w:val="20"/>
          <w:szCs w:val="20"/>
        </w:rPr>
        <w:t xml:space="preserve"> Spanish </w:t>
      </w:r>
      <w:r w:rsidR="00A010C5" w:rsidRPr="009A7668">
        <w:rPr>
          <w:sz w:val="20"/>
          <w:szCs w:val="20"/>
        </w:rPr>
        <w:t xml:space="preserve">and Asian languages, </w:t>
      </w:r>
      <w:r w:rsidR="00307E12" w:rsidRPr="009A7668">
        <w:rPr>
          <w:sz w:val="20"/>
          <w:szCs w:val="20"/>
        </w:rPr>
        <w:t>and its expansion following Hurricane Sandy</w:t>
      </w:r>
      <w:r w:rsidR="00630A1D" w:rsidRPr="009A7668">
        <w:rPr>
          <w:sz w:val="20"/>
          <w:szCs w:val="20"/>
        </w:rPr>
        <w:t xml:space="preserve"> to accommodate suddenly displaced voters</w:t>
      </w:r>
      <w:r w:rsidR="00341768" w:rsidRPr="009A7668">
        <w:rPr>
          <w:sz w:val="20"/>
          <w:szCs w:val="20"/>
        </w:rPr>
        <w:t xml:space="preserve">; </w:t>
      </w:r>
      <w:r w:rsidR="000F13A3" w:rsidRPr="009A7668">
        <w:rPr>
          <w:sz w:val="20"/>
          <w:szCs w:val="20"/>
        </w:rPr>
        <w:t xml:space="preserve">(2) </w:t>
      </w:r>
      <w:r w:rsidR="00341768" w:rsidRPr="009A7668">
        <w:rPr>
          <w:sz w:val="20"/>
          <w:szCs w:val="20"/>
        </w:rPr>
        <w:t xml:space="preserve">its development of </w:t>
      </w:r>
      <w:r w:rsidR="0001712F" w:rsidRPr="009A7668">
        <w:rPr>
          <w:sz w:val="20"/>
          <w:szCs w:val="20"/>
        </w:rPr>
        <w:t>smartphone and other digital applications</w:t>
      </w:r>
      <w:r w:rsidR="001422DD" w:rsidRPr="009A7668">
        <w:rPr>
          <w:sz w:val="20"/>
          <w:szCs w:val="20"/>
        </w:rPr>
        <w:t>;</w:t>
      </w:r>
      <w:r w:rsidR="0001712F" w:rsidRPr="009A7668">
        <w:rPr>
          <w:sz w:val="20"/>
          <w:szCs w:val="20"/>
        </w:rPr>
        <w:t xml:space="preserve"> </w:t>
      </w:r>
      <w:r w:rsidR="007F53DE" w:rsidRPr="009A7668">
        <w:rPr>
          <w:sz w:val="20"/>
          <w:szCs w:val="20"/>
        </w:rPr>
        <w:t>a</w:t>
      </w:r>
      <w:r w:rsidR="0001712F" w:rsidRPr="009A7668">
        <w:rPr>
          <w:sz w:val="20"/>
          <w:szCs w:val="20"/>
        </w:rPr>
        <w:t xml:space="preserve">nd </w:t>
      </w:r>
      <w:r w:rsidR="000F13A3" w:rsidRPr="009A7668">
        <w:rPr>
          <w:sz w:val="20"/>
          <w:szCs w:val="20"/>
        </w:rPr>
        <w:t xml:space="preserve">(3) </w:t>
      </w:r>
      <w:r w:rsidR="00341768" w:rsidRPr="009A7668">
        <w:rPr>
          <w:sz w:val="20"/>
          <w:szCs w:val="20"/>
        </w:rPr>
        <w:t xml:space="preserve">its </w:t>
      </w:r>
      <w:r w:rsidR="007F53DE" w:rsidRPr="009A7668">
        <w:rPr>
          <w:sz w:val="20"/>
          <w:szCs w:val="20"/>
        </w:rPr>
        <w:t>creation of</w:t>
      </w:r>
      <w:r w:rsidR="00982831" w:rsidRPr="009A7668">
        <w:rPr>
          <w:sz w:val="20"/>
          <w:szCs w:val="20"/>
        </w:rPr>
        <w:t xml:space="preserve"> </w:t>
      </w:r>
      <w:r w:rsidR="0001712F" w:rsidRPr="009A7668">
        <w:rPr>
          <w:sz w:val="20"/>
          <w:szCs w:val="20"/>
        </w:rPr>
        <w:t>a fi</w:t>
      </w:r>
      <w:r w:rsidR="00341768" w:rsidRPr="009A7668">
        <w:rPr>
          <w:sz w:val="20"/>
          <w:szCs w:val="20"/>
        </w:rPr>
        <w:t xml:space="preserve">eld </w:t>
      </w:r>
      <w:r w:rsidR="0001712F" w:rsidRPr="009A7668">
        <w:rPr>
          <w:sz w:val="20"/>
          <w:szCs w:val="20"/>
        </w:rPr>
        <w:t>program (</w:t>
      </w:r>
      <w:r w:rsidR="000F21A0" w:rsidRPr="009A7668">
        <w:rPr>
          <w:sz w:val="20"/>
          <w:szCs w:val="20"/>
        </w:rPr>
        <w:t xml:space="preserve">81 </w:t>
      </w:r>
      <w:r w:rsidR="00743B31" w:rsidRPr="009A7668">
        <w:rPr>
          <w:sz w:val="20"/>
          <w:szCs w:val="20"/>
        </w:rPr>
        <w:t xml:space="preserve">local </w:t>
      </w:r>
      <w:r w:rsidR="000F21A0" w:rsidRPr="009A7668">
        <w:rPr>
          <w:sz w:val="20"/>
          <w:szCs w:val="20"/>
        </w:rPr>
        <w:t xml:space="preserve">election </w:t>
      </w:r>
      <w:r w:rsidR="00743B31" w:rsidRPr="009A7668">
        <w:rPr>
          <w:sz w:val="20"/>
          <w:szCs w:val="20"/>
        </w:rPr>
        <w:t xml:space="preserve">protection committees </w:t>
      </w:r>
      <w:r w:rsidR="000F21A0" w:rsidRPr="009A7668">
        <w:rPr>
          <w:sz w:val="20"/>
          <w:szCs w:val="20"/>
        </w:rPr>
        <w:t>in 22 states</w:t>
      </w:r>
      <w:r w:rsidR="00341768" w:rsidRPr="009A7668">
        <w:rPr>
          <w:sz w:val="20"/>
          <w:szCs w:val="20"/>
        </w:rPr>
        <w:t xml:space="preserve">, </w:t>
      </w:r>
      <w:r w:rsidR="00D3684B" w:rsidRPr="009A7668">
        <w:rPr>
          <w:sz w:val="20"/>
          <w:szCs w:val="20"/>
        </w:rPr>
        <w:t xml:space="preserve">which developed </w:t>
      </w:r>
      <w:r w:rsidR="00FE0EE7" w:rsidRPr="009A7668">
        <w:rPr>
          <w:sz w:val="20"/>
          <w:szCs w:val="20"/>
        </w:rPr>
        <w:t xml:space="preserve">comprehensive </w:t>
      </w:r>
      <w:r w:rsidR="00D3684B" w:rsidRPr="009A7668">
        <w:rPr>
          <w:sz w:val="20"/>
          <w:szCs w:val="20"/>
        </w:rPr>
        <w:t xml:space="preserve">local </w:t>
      </w:r>
      <w:r w:rsidR="00FE0EE7" w:rsidRPr="009A7668">
        <w:rPr>
          <w:sz w:val="20"/>
          <w:szCs w:val="20"/>
        </w:rPr>
        <w:t xml:space="preserve">legal support </w:t>
      </w:r>
      <w:r w:rsidR="00D3684B" w:rsidRPr="009A7668">
        <w:rPr>
          <w:sz w:val="20"/>
          <w:szCs w:val="20"/>
        </w:rPr>
        <w:t>plans and trained State Voices and other organizations</w:t>
      </w:r>
      <w:r w:rsidR="0001712F" w:rsidRPr="009A7668">
        <w:rPr>
          <w:sz w:val="20"/>
          <w:szCs w:val="20"/>
        </w:rPr>
        <w:t>)</w:t>
      </w:r>
      <w:r w:rsidR="00D3684B" w:rsidRPr="009A7668">
        <w:rPr>
          <w:sz w:val="20"/>
          <w:szCs w:val="20"/>
        </w:rPr>
        <w:t>.</w:t>
      </w:r>
      <w:r w:rsidR="004B0838" w:rsidRPr="009A7668">
        <w:rPr>
          <w:rStyle w:val="FootnoteReference"/>
          <w:sz w:val="20"/>
          <w:szCs w:val="20"/>
        </w:rPr>
        <w:footnoteReference w:id="18"/>
      </w:r>
      <w:r w:rsidR="00743B31" w:rsidRPr="009A7668">
        <w:rPr>
          <w:sz w:val="20"/>
          <w:szCs w:val="20"/>
        </w:rPr>
        <w:t xml:space="preserve"> </w:t>
      </w:r>
    </w:p>
    <w:p w:rsidR="00E318AB" w:rsidRPr="009A7668" w:rsidRDefault="009C03ED" w:rsidP="00136C03">
      <w:pPr>
        <w:rPr>
          <w:color w:val="FF0000"/>
          <w:sz w:val="20"/>
          <w:szCs w:val="20"/>
        </w:rPr>
      </w:pPr>
      <w:r w:rsidRPr="006C56B1">
        <w:rPr>
          <w:iCs/>
          <w:sz w:val="20"/>
          <w:szCs w:val="20"/>
          <w:u w:val="single"/>
        </w:rPr>
        <w:t>Communications:</w:t>
      </w:r>
      <w:r w:rsidRPr="006C56B1">
        <w:rPr>
          <w:iCs/>
          <w:sz w:val="20"/>
          <w:szCs w:val="20"/>
        </w:rPr>
        <w:t xml:space="preserve"> </w:t>
      </w:r>
      <w:r w:rsidR="006C56B1">
        <w:rPr>
          <w:iCs/>
          <w:sz w:val="20"/>
          <w:szCs w:val="20"/>
        </w:rPr>
        <w:t xml:space="preserve"> </w:t>
      </w:r>
      <w:r w:rsidR="00853E6D" w:rsidRPr="009A7668">
        <w:rPr>
          <w:iCs/>
          <w:sz w:val="20"/>
          <w:szCs w:val="20"/>
        </w:rPr>
        <w:t>C</w:t>
      </w:r>
      <w:r w:rsidR="00254887" w:rsidRPr="009A7668">
        <w:rPr>
          <w:iCs/>
          <w:sz w:val="20"/>
          <w:szCs w:val="20"/>
        </w:rPr>
        <w:t xml:space="preserve">onservative visions of </w:t>
      </w:r>
      <w:r w:rsidR="004919D2" w:rsidRPr="009A7668">
        <w:rPr>
          <w:iCs/>
          <w:sz w:val="20"/>
          <w:szCs w:val="20"/>
        </w:rPr>
        <w:t>a voter impersonation crisis -</w:t>
      </w:r>
      <w:r w:rsidR="00DE6108" w:rsidRPr="009A7668">
        <w:rPr>
          <w:rFonts w:cs="Times New Roman"/>
          <w:sz w:val="20"/>
          <w:szCs w:val="20"/>
        </w:rPr>
        <w:t xml:space="preserve"> </w:t>
      </w:r>
      <w:r w:rsidR="005A1526" w:rsidRPr="009A7668">
        <w:rPr>
          <w:rFonts w:cs="Times New Roman"/>
          <w:sz w:val="20"/>
          <w:szCs w:val="20"/>
        </w:rPr>
        <w:t>and the concomitant “need” for voter ID</w:t>
      </w:r>
      <w:r w:rsidR="00DE6108" w:rsidRPr="009A7668">
        <w:rPr>
          <w:rFonts w:cs="Times New Roman"/>
          <w:sz w:val="20"/>
          <w:szCs w:val="20"/>
        </w:rPr>
        <w:t xml:space="preserve"> </w:t>
      </w:r>
      <w:r w:rsidR="004919D2" w:rsidRPr="009A7668">
        <w:rPr>
          <w:rFonts w:cs="Times New Roman"/>
          <w:sz w:val="20"/>
          <w:szCs w:val="20"/>
        </w:rPr>
        <w:t>–</w:t>
      </w:r>
      <w:r w:rsidR="00254887" w:rsidRPr="009A7668">
        <w:rPr>
          <w:rFonts w:cs="Times New Roman"/>
          <w:sz w:val="20"/>
          <w:szCs w:val="20"/>
        </w:rPr>
        <w:t xml:space="preserve"> </w:t>
      </w:r>
      <w:r w:rsidR="004919D2" w:rsidRPr="009A7668">
        <w:rPr>
          <w:rFonts w:cs="Times New Roman"/>
          <w:sz w:val="20"/>
          <w:szCs w:val="20"/>
        </w:rPr>
        <w:t>had</w:t>
      </w:r>
      <w:r w:rsidR="00853E6D" w:rsidRPr="009A7668">
        <w:rPr>
          <w:rFonts w:cs="Times New Roman"/>
          <w:sz w:val="20"/>
          <w:szCs w:val="20"/>
        </w:rPr>
        <w:t>, by late 2011,</w:t>
      </w:r>
      <w:r w:rsidR="004919D2" w:rsidRPr="009A7668">
        <w:rPr>
          <w:rFonts w:cs="Times New Roman"/>
          <w:sz w:val="20"/>
          <w:szCs w:val="20"/>
        </w:rPr>
        <w:t xml:space="preserve"> </w:t>
      </w:r>
      <w:r w:rsidR="00254887" w:rsidRPr="009A7668">
        <w:rPr>
          <w:rFonts w:cs="Times New Roman"/>
          <w:sz w:val="20"/>
          <w:szCs w:val="20"/>
        </w:rPr>
        <w:t>sa</w:t>
      </w:r>
      <w:r w:rsidR="009155B4" w:rsidRPr="009A7668">
        <w:rPr>
          <w:rFonts w:cs="Times New Roman"/>
          <w:sz w:val="20"/>
          <w:szCs w:val="20"/>
        </w:rPr>
        <w:t>turat</w:t>
      </w:r>
      <w:r w:rsidR="004919D2" w:rsidRPr="009A7668">
        <w:rPr>
          <w:rFonts w:cs="Times New Roman"/>
          <w:sz w:val="20"/>
          <w:szCs w:val="20"/>
        </w:rPr>
        <w:t>ed</w:t>
      </w:r>
      <w:r w:rsidR="009155B4" w:rsidRPr="009A7668">
        <w:rPr>
          <w:rFonts w:cs="Times New Roman"/>
          <w:sz w:val="20"/>
          <w:szCs w:val="20"/>
        </w:rPr>
        <w:t xml:space="preserve"> the media. </w:t>
      </w:r>
      <w:r w:rsidR="006C555F" w:rsidRPr="009A7668">
        <w:rPr>
          <w:rFonts w:cs="Times New Roman"/>
          <w:sz w:val="20"/>
          <w:szCs w:val="20"/>
        </w:rPr>
        <w:t xml:space="preserve"> </w:t>
      </w:r>
      <w:r w:rsidR="00EB6B1B" w:rsidRPr="009A7668">
        <w:rPr>
          <w:rFonts w:cs="Times New Roman"/>
          <w:sz w:val="20"/>
          <w:szCs w:val="20"/>
        </w:rPr>
        <w:t>I</w:t>
      </w:r>
      <w:r w:rsidR="005A1526" w:rsidRPr="009A7668">
        <w:rPr>
          <w:rFonts w:cs="Times New Roman"/>
          <w:sz w:val="20"/>
          <w:szCs w:val="20"/>
        </w:rPr>
        <w:t>n social media alone, voter fraud rose sharply from 5</w:t>
      </w:r>
      <w:r w:rsidR="00EB6B1B" w:rsidRPr="009A7668">
        <w:rPr>
          <w:rFonts w:cs="Times New Roman"/>
          <w:sz w:val="20"/>
          <w:szCs w:val="20"/>
        </w:rPr>
        <w:t>,</w:t>
      </w:r>
      <w:r w:rsidR="005A1526" w:rsidRPr="009A7668">
        <w:rPr>
          <w:rFonts w:cs="Times New Roman"/>
          <w:sz w:val="20"/>
          <w:szCs w:val="20"/>
        </w:rPr>
        <w:t>000 mentions</w:t>
      </w:r>
      <w:r w:rsidR="00663595" w:rsidRPr="009A7668">
        <w:rPr>
          <w:rFonts w:cs="Times New Roman"/>
          <w:sz w:val="20"/>
          <w:szCs w:val="20"/>
        </w:rPr>
        <w:t xml:space="preserve"> in early 2012</w:t>
      </w:r>
      <w:r w:rsidR="005A1526" w:rsidRPr="009A7668">
        <w:rPr>
          <w:rFonts w:cs="Times New Roman"/>
          <w:sz w:val="20"/>
          <w:szCs w:val="20"/>
        </w:rPr>
        <w:t xml:space="preserve"> to 37</w:t>
      </w:r>
      <w:r w:rsidR="00EB6B1B" w:rsidRPr="009A7668">
        <w:rPr>
          <w:rFonts w:cs="Times New Roman"/>
          <w:sz w:val="20"/>
          <w:szCs w:val="20"/>
        </w:rPr>
        <w:t>,</w:t>
      </w:r>
      <w:r w:rsidR="005A1526" w:rsidRPr="009A7668">
        <w:rPr>
          <w:rFonts w:cs="Times New Roman"/>
          <w:sz w:val="20"/>
          <w:szCs w:val="20"/>
        </w:rPr>
        <w:t>000 mentions</w:t>
      </w:r>
      <w:r w:rsidR="00663595" w:rsidRPr="009A7668">
        <w:rPr>
          <w:rFonts w:cs="Times New Roman"/>
          <w:sz w:val="20"/>
          <w:szCs w:val="20"/>
        </w:rPr>
        <w:t xml:space="preserve"> in November 2012.</w:t>
      </w:r>
      <w:r w:rsidR="002B390C" w:rsidRPr="009A7668">
        <w:rPr>
          <w:rStyle w:val="FootnoteReference"/>
          <w:rFonts w:cs="Times New Roman"/>
          <w:sz w:val="20"/>
          <w:szCs w:val="20"/>
        </w:rPr>
        <w:footnoteReference w:id="19"/>
      </w:r>
      <w:r w:rsidR="00853E6D" w:rsidRPr="009A7668">
        <w:rPr>
          <w:rFonts w:cs="Times New Roman"/>
          <w:sz w:val="20"/>
          <w:szCs w:val="20"/>
        </w:rPr>
        <w:t xml:space="preserve"> </w:t>
      </w:r>
      <w:r w:rsidR="00670A08" w:rsidRPr="009A7668">
        <w:rPr>
          <w:iCs/>
          <w:sz w:val="20"/>
          <w:szCs w:val="20"/>
        </w:rPr>
        <w:t>P</w:t>
      </w:r>
      <w:r w:rsidR="00F64EE5" w:rsidRPr="009A7668">
        <w:rPr>
          <w:iCs/>
          <w:sz w:val="20"/>
          <w:szCs w:val="20"/>
        </w:rPr>
        <w:t>roof</w:t>
      </w:r>
      <w:r w:rsidR="00AF069E" w:rsidRPr="009A7668">
        <w:rPr>
          <w:iCs/>
          <w:sz w:val="20"/>
          <w:szCs w:val="20"/>
        </w:rPr>
        <w:t xml:space="preserve"> of </w:t>
      </w:r>
      <w:r w:rsidR="006C555F" w:rsidRPr="009A7668">
        <w:rPr>
          <w:iCs/>
          <w:sz w:val="20"/>
          <w:szCs w:val="20"/>
        </w:rPr>
        <w:t xml:space="preserve">statistically insignificant </w:t>
      </w:r>
      <w:r w:rsidR="00B47960" w:rsidRPr="009A7668">
        <w:rPr>
          <w:iCs/>
          <w:sz w:val="20"/>
          <w:szCs w:val="20"/>
        </w:rPr>
        <w:t xml:space="preserve">impersonation </w:t>
      </w:r>
      <w:r w:rsidR="00E94A87" w:rsidRPr="009A7668">
        <w:rPr>
          <w:iCs/>
          <w:sz w:val="20"/>
          <w:szCs w:val="20"/>
        </w:rPr>
        <w:t>fraud</w:t>
      </w:r>
      <w:r w:rsidR="004440F4" w:rsidRPr="009A7668">
        <w:rPr>
          <w:rStyle w:val="FootnoteReference"/>
          <w:iCs/>
          <w:sz w:val="20"/>
          <w:szCs w:val="20"/>
        </w:rPr>
        <w:footnoteReference w:id="20"/>
      </w:r>
      <w:r w:rsidR="00773962" w:rsidRPr="009A7668">
        <w:rPr>
          <w:iCs/>
          <w:sz w:val="20"/>
          <w:szCs w:val="20"/>
        </w:rPr>
        <w:t xml:space="preserve"> </w:t>
      </w:r>
      <w:r w:rsidR="00FB2FBF" w:rsidRPr="009A7668">
        <w:rPr>
          <w:iCs/>
          <w:sz w:val="20"/>
          <w:szCs w:val="20"/>
        </w:rPr>
        <w:t xml:space="preserve">did </w:t>
      </w:r>
      <w:r w:rsidR="00773962" w:rsidRPr="009A7668">
        <w:rPr>
          <w:iCs/>
          <w:sz w:val="20"/>
          <w:szCs w:val="20"/>
        </w:rPr>
        <w:t xml:space="preserve">not </w:t>
      </w:r>
      <w:r w:rsidR="00F84085" w:rsidRPr="009A7668">
        <w:rPr>
          <w:iCs/>
          <w:sz w:val="20"/>
          <w:szCs w:val="20"/>
        </w:rPr>
        <w:t>diminish the clamor for</w:t>
      </w:r>
      <w:r w:rsidR="00E94A87" w:rsidRPr="009A7668">
        <w:rPr>
          <w:iCs/>
          <w:sz w:val="20"/>
          <w:szCs w:val="20"/>
        </w:rPr>
        <w:t xml:space="preserve"> electoral integrity</w:t>
      </w:r>
      <w:r w:rsidR="00F84085" w:rsidRPr="009A7668">
        <w:rPr>
          <w:iCs/>
          <w:sz w:val="20"/>
          <w:szCs w:val="20"/>
        </w:rPr>
        <w:t xml:space="preserve">. </w:t>
      </w:r>
      <w:r w:rsidR="00AB4779" w:rsidRPr="009A7668">
        <w:rPr>
          <w:iCs/>
          <w:sz w:val="20"/>
          <w:szCs w:val="20"/>
        </w:rPr>
        <w:t>We consulted with key field groups</w:t>
      </w:r>
      <w:r w:rsidR="00A46413" w:rsidRPr="009A7668">
        <w:rPr>
          <w:iCs/>
          <w:sz w:val="20"/>
          <w:szCs w:val="20"/>
        </w:rPr>
        <w:t xml:space="preserve"> </w:t>
      </w:r>
      <w:r w:rsidR="00C6686D" w:rsidRPr="009A7668">
        <w:rPr>
          <w:iCs/>
          <w:sz w:val="20"/>
          <w:szCs w:val="20"/>
        </w:rPr>
        <w:t xml:space="preserve">and </w:t>
      </w:r>
      <w:r w:rsidR="001A7107" w:rsidRPr="009A7668">
        <w:rPr>
          <w:iCs/>
          <w:sz w:val="20"/>
          <w:szCs w:val="20"/>
        </w:rPr>
        <w:t xml:space="preserve">certain </w:t>
      </w:r>
      <w:r w:rsidR="00AB4779" w:rsidRPr="009A7668">
        <w:rPr>
          <w:iCs/>
          <w:sz w:val="20"/>
          <w:szCs w:val="20"/>
        </w:rPr>
        <w:t>U</w:t>
      </w:r>
      <w:r w:rsidR="00670A08" w:rsidRPr="009A7668">
        <w:rPr>
          <w:iCs/>
          <w:sz w:val="20"/>
          <w:szCs w:val="20"/>
        </w:rPr>
        <w:t>.</w:t>
      </w:r>
      <w:r w:rsidR="00AB4779" w:rsidRPr="009A7668">
        <w:rPr>
          <w:iCs/>
          <w:sz w:val="20"/>
          <w:szCs w:val="20"/>
        </w:rPr>
        <w:t>S</w:t>
      </w:r>
      <w:r w:rsidR="00670A08" w:rsidRPr="009A7668">
        <w:rPr>
          <w:iCs/>
          <w:sz w:val="20"/>
          <w:szCs w:val="20"/>
        </w:rPr>
        <w:t xml:space="preserve">. </w:t>
      </w:r>
      <w:r w:rsidR="00AB4779" w:rsidRPr="009A7668">
        <w:rPr>
          <w:iCs/>
          <w:sz w:val="20"/>
          <w:szCs w:val="20"/>
        </w:rPr>
        <w:t>P</w:t>
      </w:r>
      <w:r w:rsidR="00670A08" w:rsidRPr="009A7668">
        <w:rPr>
          <w:iCs/>
          <w:sz w:val="20"/>
          <w:szCs w:val="20"/>
        </w:rPr>
        <w:t>rograms</w:t>
      </w:r>
      <w:r w:rsidR="00AB4779" w:rsidRPr="009A7668">
        <w:rPr>
          <w:iCs/>
          <w:sz w:val="20"/>
          <w:szCs w:val="20"/>
        </w:rPr>
        <w:t xml:space="preserve"> board members</w:t>
      </w:r>
      <w:r w:rsidR="001A7107" w:rsidRPr="009A7668">
        <w:rPr>
          <w:iCs/>
          <w:sz w:val="20"/>
          <w:szCs w:val="20"/>
        </w:rPr>
        <w:t>,</w:t>
      </w:r>
      <w:r w:rsidR="00AB4779" w:rsidRPr="009A7668">
        <w:rPr>
          <w:iCs/>
          <w:sz w:val="20"/>
          <w:szCs w:val="20"/>
        </w:rPr>
        <w:t xml:space="preserve"> and </w:t>
      </w:r>
      <w:r w:rsidR="00A9663E" w:rsidRPr="009A7668">
        <w:rPr>
          <w:iCs/>
          <w:sz w:val="20"/>
          <w:szCs w:val="20"/>
        </w:rPr>
        <w:t>ultimately agreed</w:t>
      </w:r>
      <w:r w:rsidR="00C6686D" w:rsidRPr="009A7668">
        <w:rPr>
          <w:iCs/>
          <w:sz w:val="20"/>
          <w:szCs w:val="20"/>
        </w:rPr>
        <w:t xml:space="preserve"> that </w:t>
      </w:r>
      <w:r w:rsidR="00A9663E" w:rsidRPr="009A7668">
        <w:rPr>
          <w:iCs/>
          <w:sz w:val="20"/>
          <w:szCs w:val="20"/>
        </w:rPr>
        <w:t xml:space="preserve">what </w:t>
      </w:r>
      <w:r w:rsidR="001A7107" w:rsidRPr="009A7668">
        <w:rPr>
          <w:iCs/>
          <w:sz w:val="20"/>
          <w:szCs w:val="20"/>
        </w:rPr>
        <w:t xml:space="preserve">we could most usefully do – and should do </w:t>
      </w:r>
      <w:r w:rsidR="006C555F" w:rsidRPr="009A7668">
        <w:rPr>
          <w:iCs/>
          <w:sz w:val="20"/>
          <w:szCs w:val="20"/>
        </w:rPr>
        <w:t>–</w:t>
      </w:r>
      <w:r w:rsidR="001A7107" w:rsidRPr="009A7668">
        <w:rPr>
          <w:iCs/>
          <w:sz w:val="20"/>
          <w:szCs w:val="20"/>
        </w:rPr>
        <w:t xml:space="preserve"> </w:t>
      </w:r>
      <w:r w:rsidR="006C555F" w:rsidRPr="009A7668">
        <w:rPr>
          <w:iCs/>
          <w:sz w:val="20"/>
          <w:szCs w:val="20"/>
        </w:rPr>
        <w:t xml:space="preserve">to </w:t>
      </w:r>
      <w:r w:rsidR="00A509A8" w:rsidRPr="009A7668">
        <w:rPr>
          <w:iCs/>
          <w:sz w:val="20"/>
          <w:szCs w:val="20"/>
        </w:rPr>
        <w:t>undermine the case for the restrictions</w:t>
      </w:r>
      <w:r w:rsidR="006C555F" w:rsidRPr="009A7668">
        <w:rPr>
          <w:iCs/>
          <w:sz w:val="20"/>
          <w:szCs w:val="20"/>
        </w:rPr>
        <w:t xml:space="preserve">, </w:t>
      </w:r>
      <w:r w:rsidR="00620B13" w:rsidRPr="009A7668">
        <w:rPr>
          <w:iCs/>
          <w:sz w:val="20"/>
          <w:szCs w:val="20"/>
        </w:rPr>
        <w:t xml:space="preserve">was to resource the development of </w:t>
      </w:r>
      <w:r w:rsidR="00AF069E" w:rsidRPr="009A7668">
        <w:rPr>
          <w:iCs/>
          <w:sz w:val="20"/>
          <w:szCs w:val="20"/>
        </w:rPr>
        <w:t>new frames and language with which t</w:t>
      </w:r>
      <w:r w:rsidR="00A9663E" w:rsidRPr="009A7668">
        <w:rPr>
          <w:iCs/>
          <w:sz w:val="20"/>
          <w:szCs w:val="20"/>
        </w:rPr>
        <w:t>he fi</w:t>
      </w:r>
      <w:r w:rsidR="00620B13" w:rsidRPr="009A7668">
        <w:rPr>
          <w:iCs/>
          <w:sz w:val="20"/>
          <w:szCs w:val="20"/>
        </w:rPr>
        <w:t>e</w:t>
      </w:r>
      <w:r w:rsidR="00A9663E" w:rsidRPr="009A7668">
        <w:rPr>
          <w:iCs/>
          <w:sz w:val="20"/>
          <w:szCs w:val="20"/>
        </w:rPr>
        <w:t>l</w:t>
      </w:r>
      <w:r w:rsidR="00620B13" w:rsidRPr="009A7668">
        <w:rPr>
          <w:iCs/>
          <w:sz w:val="20"/>
          <w:szCs w:val="20"/>
        </w:rPr>
        <w:t>d</w:t>
      </w:r>
      <w:r w:rsidR="00FD6BD6" w:rsidRPr="009A7668">
        <w:rPr>
          <w:iCs/>
          <w:sz w:val="20"/>
          <w:szCs w:val="20"/>
        </w:rPr>
        <w:t>, and the media,</w:t>
      </w:r>
      <w:r w:rsidR="00620B13" w:rsidRPr="009A7668">
        <w:rPr>
          <w:iCs/>
          <w:sz w:val="20"/>
          <w:szCs w:val="20"/>
        </w:rPr>
        <w:t xml:space="preserve"> could </w:t>
      </w:r>
      <w:r w:rsidR="00AF069E" w:rsidRPr="009A7668">
        <w:rPr>
          <w:iCs/>
          <w:sz w:val="20"/>
          <w:szCs w:val="20"/>
        </w:rPr>
        <w:t xml:space="preserve">contend with </w:t>
      </w:r>
      <w:r w:rsidR="00FD6BD6" w:rsidRPr="009A7668">
        <w:rPr>
          <w:iCs/>
          <w:sz w:val="20"/>
          <w:szCs w:val="20"/>
        </w:rPr>
        <w:t xml:space="preserve">the </w:t>
      </w:r>
      <w:r w:rsidR="00AF069E" w:rsidRPr="009A7668">
        <w:rPr>
          <w:iCs/>
          <w:sz w:val="20"/>
          <w:szCs w:val="20"/>
        </w:rPr>
        <w:t xml:space="preserve">irrational </w:t>
      </w:r>
      <w:r w:rsidR="00620B13" w:rsidRPr="009A7668">
        <w:rPr>
          <w:iCs/>
          <w:sz w:val="20"/>
          <w:szCs w:val="20"/>
        </w:rPr>
        <w:t>pro-</w:t>
      </w:r>
      <w:r w:rsidR="000B66DD" w:rsidRPr="009A7668">
        <w:rPr>
          <w:iCs/>
          <w:sz w:val="20"/>
          <w:szCs w:val="20"/>
        </w:rPr>
        <w:t>restriction</w:t>
      </w:r>
      <w:r w:rsidR="00AF069E" w:rsidRPr="009A7668">
        <w:rPr>
          <w:iCs/>
          <w:sz w:val="20"/>
          <w:szCs w:val="20"/>
        </w:rPr>
        <w:t xml:space="preserve"> arguments. </w:t>
      </w:r>
      <w:r w:rsidR="00407BDF" w:rsidRPr="009A7668">
        <w:rPr>
          <w:iCs/>
          <w:sz w:val="20"/>
          <w:szCs w:val="20"/>
        </w:rPr>
        <w:t xml:space="preserve"> With a substantial contribution </w:t>
      </w:r>
      <w:r w:rsidR="00407BDF" w:rsidRPr="009A7668">
        <w:rPr>
          <w:rFonts w:cs="Times New Roman"/>
          <w:sz w:val="20"/>
          <w:szCs w:val="20"/>
        </w:rPr>
        <w:t>from the</w:t>
      </w:r>
      <w:r w:rsidR="00A62D85" w:rsidRPr="009A7668">
        <w:rPr>
          <w:rFonts w:cs="Times New Roman"/>
          <w:sz w:val="20"/>
          <w:szCs w:val="20"/>
        </w:rPr>
        <w:t xml:space="preserve"> </w:t>
      </w:r>
      <w:r w:rsidR="00AC0A45" w:rsidRPr="009A7668">
        <w:rPr>
          <w:rFonts w:cs="Times New Roman"/>
          <w:sz w:val="20"/>
          <w:szCs w:val="20"/>
        </w:rPr>
        <w:t xml:space="preserve">U.S. Programs' </w:t>
      </w:r>
      <w:r w:rsidR="00407BDF" w:rsidRPr="009A7668">
        <w:rPr>
          <w:rFonts w:cs="Times New Roman"/>
          <w:sz w:val="20"/>
          <w:szCs w:val="20"/>
        </w:rPr>
        <w:t xml:space="preserve">Reserve Fund, we made </w:t>
      </w:r>
      <w:r w:rsidR="000B2126" w:rsidRPr="009A7668">
        <w:rPr>
          <w:rFonts w:cs="Times New Roman"/>
          <w:sz w:val="20"/>
          <w:szCs w:val="20"/>
        </w:rPr>
        <w:t>grant</w:t>
      </w:r>
      <w:r w:rsidR="00407BDF" w:rsidRPr="009A7668">
        <w:rPr>
          <w:rFonts w:cs="Times New Roman"/>
          <w:sz w:val="20"/>
          <w:szCs w:val="20"/>
        </w:rPr>
        <w:t>s totaling</w:t>
      </w:r>
      <w:r w:rsidR="000B2126" w:rsidRPr="009A7668">
        <w:rPr>
          <w:rFonts w:cs="Times New Roman"/>
          <w:sz w:val="20"/>
          <w:szCs w:val="20"/>
        </w:rPr>
        <w:t xml:space="preserve"> $3,000,000 </w:t>
      </w:r>
      <w:r w:rsidR="00E94A87" w:rsidRPr="009A7668">
        <w:rPr>
          <w:rFonts w:cs="Times New Roman"/>
          <w:sz w:val="20"/>
          <w:szCs w:val="20"/>
        </w:rPr>
        <w:t xml:space="preserve">to </w:t>
      </w:r>
      <w:r w:rsidR="00AC0A45" w:rsidRPr="009A7668">
        <w:rPr>
          <w:rFonts w:cs="Times New Roman"/>
          <w:sz w:val="20"/>
          <w:szCs w:val="20"/>
        </w:rPr>
        <w:t>the Brennan Center and the Advancement Project</w:t>
      </w:r>
      <w:r w:rsidR="00514E80" w:rsidRPr="009A7668">
        <w:rPr>
          <w:rFonts w:cs="Times New Roman"/>
          <w:sz w:val="20"/>
          <w:szCs w:val="20"/>
        </w:rPr>
        <w:t>, to</w:t>
      </w:r>
      <w:r w:rsidR="00EE5EB6" w:rsidRPr="009A7668">
        <w:rPr>
          <w:rFonts w:cs="Times New Roman"/>
          <w:sz w:val="20"/>
          <w:szCs w:val="20"/>
        </w:rPr>
        <w:t xml:space="preserve"> </w:t>
      </w:r>
      <w:r w:rsidR="000F48B2" w:rsidRPr="009A7668">
        <w:rPr>
          <w:rFonts w:cs="Times New Roman"/>
          <w:sz w:val="20"/>
          <w:szCs w:val="20"/>
        </w:rPr>
        <w:t xml:space="preserve">seek field input, </w:t>
      </w:r>
      <w:r w:rsidR="00396B57" w:rsidRPr="009A7668">
        <w:rPr>
          <w:rFonts w:cs="Times New Roman"/>
          <w:sz w:val="20"/>
          <w:szCs w:val="20"/>
        </w:rPr>
        <w:t>de</w:t>
      </w:r>
      <w:r w:rsidR="000F48B2" w:rsidRPr="009A7668">
        <w:rPr>
          <w:rFonts w:cs="Times New Roman"/>
          <w:sz w:val="20"/>
          <w:szCs w:val="20"/>
        </w:rPr>
        <w:t xml:space="preserve">sign and </w:t>
      </w:r>
      <w:r w:rsidR="0044748F" w:rsidRPr="009A7668">
        <w:rPr>
          <w:rFonts w:cs="Times New Roman"/>
          <w:sz w:val="20"/>
          <w:szCs w:val="20"/>
        </w:rPr>
        <w:t xml:space="preserve">test </w:t>
      </w:r>
      <w:r w:rsidR="00250765" w:rsidRPr="009A7668">
        <w:rPr>
          <w:rFonts w:cs="Times New Roman"/>
          <w:sz w:val="20"/>
          <w:szCs w:val="20"/>
        </w:rPr>
        <w:t>values and messages</w:t>
      </w:r>
      <w:r w:rsidR="000F48B2" w:rsidRPr="009A7668">
        <w:rPr>
          <w:rFonts w:cs="Times New Roman"/>
          <w:sz w:val="20"/>
          <w:szCs w:val="20"/>
        </w:rPr>
        <w:t>,</w:t>
      </w:r>
      <w:r w:rsidR="00396B57" w:rsidRPr="009A7668">
        <w:rPr>
          <w:rFonts w:cs="Times New Roman"/>
          <w:sz w:val="20"/>
          <w:szCs w:val="20"/>
        </w:rPr>
        <w:t xml:space="preserve"> and then support national and state organizations in employing </w:t>
      </w:r>
      <w:r w:rsidR="004919D2" w:rsidRPr="009A7668">
        <w:rPr>
          <w:rFonts w:cs="Times New Roman"/>
          <w:sz w:val="20"/>
          <w:szCs w:val="20"/>
        </w:rPr>
        <w:t>research-supported messages</w:t>
      </w:r>
      <w:r w:rsidR="00396B57" w:rsidRPr="009A7668">
        <w:rPr>
          <w:rFonts w:cs="Times New Roman"/>
          <w:sz w:val="20"/>
          <w:szCs w:val="20"/>
        </w:rPr>
        <w:t>.</w:t>
      </w:r>
      <w:r w:rsidR="00895DDB" w:rsidRPr="009A7668">
        <w:rPr>
          <w:rStyle w:val="FootnoteReference"/>
          <w:rFonts w:cs="Times New Roman"/>
          <w:sz w:val="20"/>
          <w:szCs w:val="20"/>
        </w:rPr>
        <w:footnoteReference w:id="21"/>
      </w:r>
      <w:r w:rsidR="00E94A87" w:rsidRPr="009A7668">
        <w:rPr>
          <w:rFonts w:cs="Times New Roman"/>
          <w:sz w:val="20"/>
          <w:szCs w:val="20"/>
        </w:rPr>
        <w:t xml:space="preserve"> Given th</w:t>
      </w:r>
      <w:r w:rsidR="000B2126" w:rsidRPr="009A7668">
        <w:rPr>
          <w:rFonts w:cs="Times New Roman"/>
          <w:sz w:val="20"/>
          <w:szCs w:val="20"/>
        </w:rPr>
        <w:t xml:space="preserve">e size and significance of the </w:t>
      </w:r>
      <w:r w:rsidR="007B47CF" w:rsidRPr="009A7668">
        <w:rPr>
          <w:rFonts w:cs="Times New Roman"/>
          <w:sz w:val="20"/>
          <w:szCs w:val="20"/>
        </w:rPr>
        <w:t>endeavor</w:t>
      </w:r>
      <w:r w:rsidR="000B2126" w:rsidRPr="009A7668">
        <w:rPr>
          <w:rFonts w:cs="Times New Roman"/>
          <w:sz w:val="20"/>
          <w:szCs w:val="20"/>
        </w:rPr>
        <w:t>, we</w:t>
      </w:r>
      <w:r w:rsidR="00E94A87" w:rsidRPr="009A7668">
        <w:rPr>
          <w:rFonts w:cs="Times New Roman"/>
          <w:sz w:val="20"/>
          <w:szCs w:val="20"/>
        </w:rPr>
        <w:t xml:space="preserve"> </w:t>
      </w:r>
      <w:r w:rsidR="00670A08" w:rsidRPr="009A7668">
        <w:rPr>
          <w:rFonts w:cs="Times New Roman"/>
          <w:sz w:val="20"/>
          <w:szCs w:val="20"/>
        </w:rPr>
        <w:t>had the grants externally evaluated</w:t>
      </w:r>
      <w:r w:rsidR="00EA40F1">
        <w:rPr>
          <w:rFonts w:cs="Times New Roman"/>
          <w:sz w:val="20"/>
          <w:szCs w:val="20"/>
        </w:rPr>
        <w:t xml:space="preserve"> by Freedman LLC</w:t>
      </w:r>
      <w:r w:rsidR="00670A08" w:rsidRPr="009A7668">
        <w:rPr>
          <w:rFonts w:cs="Times New Roman"/>
          <w:sz w:val="20"/>
          <w:szCs w:val="20"/>
        </w:rPr>
        <w:t>.</w:t>
      </w:r>
      <w:r w:rsidR="00E94A87" w:rsidRPr="009A7668">
        <w:rPr>
          <w:rFonts w:cs="Times New Roman"/>
          <w:sz w:val="20"/>
          <w:szCs w:val="20"/>
        </w:rPr>
        <w:t xml:space="preserve"> </w:t>
      </w:r>
      <w:r w:rsidR="00FC2290" w:rsidRPr="009A7668">
        <w:rPr>
          <w:rFonts w:cs="Times New Roman"/>
          <w:sz w:val="20"/>
          <w:szCs w:val="20"/>
        </w:rPr>
        <w:t xml:space="preserve">Based on stakeholder interviews and a media analysis, </w:t>
      </w:r>
      <w:r w:rsidR="00B208E6" w:rsidRPr="009A7668">
        <w:rPr>
          <w:rFonts w:cs="Times New Roman"/>
          <w:sz w:val="20"/>
          <w:szCs w:val="20"/>
        </w:rPr>
        <w:t xml:space="preserve">the evaluators </w:t>
      </w:r>
      <w:r w:rsidR="00E94A87" w:rsidRPr="009A7668">
        <w:rPr>
          <w:rFonts w:cs="Times New Roman"/>
          <w:sz w:val="20"/>
          <w:szCs w:val="20"/>
        </w:rPr>
        <w:t>found that</w:t>
      </w:r>
      <w:r w:rsidR="008105DE" w:rsidRPr="009A7668">
        <w:rPr>
          <w:rFonts w:cs="Times New Roman"/>
          <w:sz w:val="20"/>
          <w:szCs w:val="20"/>
        </w:rPr>
        <w:t xml:space="preserve"> the grants helped </w:t>
      </w:r>
      <w:r w:rsidR="00C568A6" w:rsidRPr="009A7668">
        <w:rPr>
          <w:rFonts w:cs="Times New Roman"/>
          <w:sz w:val="20"/>
          <w:szCs w:val="20"/>
        </w:rPr>
        <w:t xml:space="preserve">elevate </w:t>
      </w:r>
      <w:r w:rsidR="008105DE" w:rsidRPr="009A7668">
        <w:rPr>
          <w:rFonts w:cs="Times New Roman"/>
          <w:sz w:val="20"/>
          <w:szCs w:val="20"/>
        </w:rPr>
        <w:t xml:space="preserve">the discussion to a topic of intense </w:t>
      </w:r>
      <w:r w:rsidR="000F48B2" w:rsidRPr="009A7668">
        <w:rPr>
          <w:rFonts w:cs="Times New Roman"/>
          <w:sz w:val="20"/>
          <w:szCs w:val="20"/>
        </w:rPr>
        <w:t xml:space="preserve">attention and </w:t>
      </w:r>
      <w:r w:rsidR="00167E8D" w:rsidRPr="009A7668">
        <w:rPr>
          <w:rFonts w:cs="Times New Roman"/>
          <w:sz w:val="20"/>
          <w:szCs w:val="20"/>
        </w:rPr>
        <w:t>scrutiny</w:t>
      </w:r>
      <w:r w:rsidR="008105DE" w:rsidRPr="009A7668">
        <w:rPr>
          <w:rFonts w:cs="Times New Roman"/>
          <w:sz w:val="20"/>
          <w:szCs w:val="20"/>
        </w:rPr>
        <w:t xml:space="preserve"> among policymakers and the media, and </w:t>
      </w:r>
      <w:r w:rsidR="00250765" w:rsidRPr="009A7668">
        <w:rPr>
          <w:rFonts w:cs="Times New Roman"/>
          <w:sz w:val="20"/>
          <w:szCs w:val="20"/>
        </w:rPr>
        <w:t xml:space="preserve">that </w:t>
      </w:r>
      <w:r w:rsidR="008105DE" w:rsidRPr="009A7668">
        <w:rPr>
          <w:rFonts w:cs="Times New Roman"/>
          <w:sz w:val="20"/>
          <w:szCs w:val="20"/>
        </w:rPr>
        <w:t xml:space="preserve">the field </w:t>
      </w:r>
      <w:r w:rsidR="00250765" w:rsidRPr="009A7668">
        <w:rPr>
          <w:rFonts w:cs="Times New Roman"/>
          <w:sz w:val="20"/>
          <w:szCs w:val="20"/>
        </w:rPr>
        <w:t xml:space="preserve">was </w:t>
      </w:r>
      <w:r w:rsidR="008105DE" w:rsidRPr="009A7668">
        <w:rPr>
          <w:rFonts w:cs="Times New Roman"/>
          <w:sz w:val="20"/>
          <w:szCs w:val="20"/>
        </w:rPr>
        <w:t xml:space="preserve">disciplined </w:t>
      </w:r>
      <w:r w:rsidR="00585DCE" w:rsidRPr="009A7668">
        <w:rPr>
          <w:rFonts w:cs="Times New Roman"/>
          <w:sz w:val="20"/>
          <w:szCs w:val="20"/>
        </w:rPr>
        <w:t>in</w:t>
      </w:r>
      <w:r w:rsidR="00250765" w:rsidRPr="009A7668">
        <w:rPr>
          <w:rFonts w:cs="Times New Roman"/>
          <w:sz w:val="20"/>
          <w:szCs w:val="20"/>
        </w:rPr>
        <w:t xml:space="preserve"> its use of the research-informed messaging</w:t>
      </w:r>
      <w:r w:rsidR="00CE58D6" w:rsidRPr="009A7668">
        <w:rPr>
          <w:rFonts w:cs="Times New Roman"/>
          <w:sz w:val="20"/>
          <w:szCs w:val="20"/>
        </w:rPr>
        <w:t xml:space="preserve"> (not denying fraud, for example)</w:t>
      </w:r>
      <w:r w:rsidR="00C2157B" w:rsidRPr="009A7668">
        <w:rPr>
          <w:rFonts w:cs="Times New Roman"/>
          <w:sz w:val="20"/>
          <w:szCs w:val="20"/>
        </w:rPr>
        <w:t>.</w:t>
      </w:r>
      <w:r w:rsidR="00C2157B" w:rsidRPr="009A7668">
        <w:rPr>
          <w:rStyle w:val="FootnoteReference"/>
          <w:rFonts w:cs="Times New Roman"/>
          <w:sz w:val="20"/>
          <w:szCs w:val="20"/>
        </w:rPr>
        <w:footnoteReference w:id="22"/>
      </w:r>
      <w:r w:rsidR="00C2157B" w:rsidRPr="009A7668">
        <w:rPr>
          <w:rFonts w:cs="Times New Roman"/>
          <w:sz w:val="20"/>
          <w:szCs w:val="20"/>
        </w:rPr>
        <w:t xml:space="preserve"> </w:t>
      </w:r>
      <w:r w:rsidR="00090C3F" w:rsidRPr="009A7668">
        <w:rPr>
          <w:rFonts w:cs="Times New Roman"/>
          <w:sz w:val="20"/>
          <w:szCs w:val="20"/>
        </w:rPr>
        <w:t xml:space="preserve">In </w:t>
      </w:r>
      <w:r w:rsidR="00650B76" w:rsidRPr="009A7668">
        <w:rPr>
          <w:rFonts w:cs="Times New Roman"/>
          <w:sz w:val="20"/>
          <w:szCs w:val="20"/>
        </w:rPr>
        <w:t>interview</w:t>
      </w:r>
      <w:r w:rsidR="00090C3F" w:rsidRPr="009A7668">
        <w:rPr>
          <w:rFonts w:cs="Times New Roman"/>
          <w:sz w:val="20"/>
          <w:szCs w:val="20"/>
        </w:rPr>
        <w:t xml:space="preserve">s of the field and funders </w:t>
      </w:r>
      <w:r w:rsidR="00AC72D6" w:rsidRPr="009A7668">
        <w:rPr>
          <w:rFonts w:cs="Times New Roman"/>
          <w:sz w:val="20"/>
          <w:szCs w:val="20"/>
        </w:rPr>
        <w:t xml:space="preserve">about </w:t>
      </w:r>
      <w:r w:rsidR="00090C3F" w:rsidRPr="009A7668">
        <w:rPr>
          <w:rFonts w:cs="Times New Roman"/>
          <w:sz w:val="20"/>
          <w:szCs w:val="20"/>
        </w:rPr>
        <w:t xml:space="preserve">the impact of </w:t>
      </w:r>
      <w:r w:rsidR="00AC72D6" w:rsidRPr="009A7668">
        <w:rPr>
          <w:rFonts w:cs="Times New Roman"/>
          <w:sz w:val="20"/>
          <w:szCs w:val="20"/>
        </w:rPr>
        <w:t>th</w:t>
      </w:r>
      <w:r w:rsidR="00650B76" w:rsidRPr="009A7668">
        <w:rPr>
          <w:rFonts w:cs="Times New Roman"/>
          <w:sz w:val="20"/>
          <w:szCs w:val="20"/>
        </w:rPr>
        <w:t xml:space="preserve">is work, </w:t>
      </w:r>
      <w:r w:rsidR="00433B18" w:rsidRPr="009A7668">
        <w:rPr>
          <w:rFonts w:cs="Times New Roman"/>
          <w:sz w:val="20"/>
          <w:szCs w:val="20"/>
        </w:rPr>
        <w:t xml:space="preserve">the evaluators </w:t>
      </w:r>
      <w:r w:rsidR="00650B76" w:rsidRPr="009A7668">
        <w:rPr>
          <w:rFonts w:cs="Times New Roman"/>
          <w:sz w:val="20"/>
          <w:szCs w:val="20"/>
        </w:rPr>
        <w:t xml:space="preserve">received a </w:t>
      </w:r>
      <w:r w:rsidR="006C2321" w:rsidRPr="009A7668">
        <w:rPr>
          <w:sz w:val="20"/>
          <w:szCs w:val="20"/>
        </w:rPr>
        <w:t>range of feedback</w:t>
      </w:r>
      <w:r w:rsidR="00650B76" w:rsidRPr="009A7668">
        <w:rPr>
          <w:sz w:val="20"/>
          <w:szCs w:val="20"/>
        </w:rPr>
        <w:t>,</w:t>
      </w:r>
      <w:r w:rsidR="006C2321" w:rsidRPr="009A7668">
        <w:rPr>
          <w:sz w:val="20"/>
          <w:szCs w:val="20"/>
        </w:rPr>
        <w:t xml:space="preserve"> from a strong sense that </w:t>
      </w:r>
      <w:r w:rsidR="00385647" w:rsidRPr="009A7668">
        <w:rPr>
          <w:sz w:val="20"/>
          <w:szCs w:val="20"/>
        </w:rPr>
        <w:t>the</w:t>
      </w:r>
      <w:r w:rsidR="0034769E" w:rsidRPr="009A7668">
        <w:rPr>
          <w:sz w:val="20"/>
          <w:szCs w:val="20"/>
        </w:rPr>
        <w:t>re was a</w:t>
      </w:r>
      <w:r w:rsidR="00385647" w:rsidRPr="009A7668">
        <w:rPr>
          <w:sz w:val="20"/>
          <w:szCs w:val="20"/>
        </w:rPr>
        <w:t xml:space="preserve"> </w:t>
      </w:r>
      <w:r w:rsidR="0034769E" w:rsidRPr="009A7668">
        <w:rPr>
          <w:sz w:val="20"/>
          <w:szCs w:val="20"/>
        </w:rPr>
        <w:t xml:space="preserve">palpable shift in the national conversation around voting laws, </w:t>
      </w:r>
      <w:r w:rsidR="00C5221A" w:rsidRPr="009A7668">
        <w:rPr>
          <w:sz w:val="20"/>
          <w:szCs w:val="20"/>
        </w:rPr>
        <w:t>to some feeling there was less of a meaningful shift but that substantially more attention was paid to t</w:t>
      </w:r>
      <w:r w:rsidR="00F17360" w:rsidRPr="009A7668">
        <w:rPr>
          <w:sz w:val="20"/>
          <w:szCs w:val="20"/>
        </w:rPr>
        <w:t xml:space="preserve">he proponents and </w:t>
      </w:r>
      <w:r w:rsidR="00CE58D6" w:rsidRPr="009A7668">
        <w:rPr>
          <w:sz w:val="20"/>
          <w:szCs w:val="20"/>
        </w:rPr>
        <w:t xml:space="preserve">exposing </w:t>
      </w:r>
      <w:r w:rsidR="00F17360" w:rsidRPr="009A7668">
        <w:rPr>
          <w:sz w:val="20"/>
          <w:szCs w:val="20"/>
        </w:rPr>
        <w:t xml:space="preserve">their </w:t>
      </w:r>
      <w:r w:rsidR="00CE58D6" w:rsidRPr="009A7668">
        <w:rPr>
          <w:sz w:val="20"/>
          <w:szCs w:val="20"/>
        </w:rPr>
        <w:t xml:space="preserve">political </w:t>
      </w:r>
      <w:r w:rsidR="00F17360" w:rsidRPr="009A7668">
        <w:rPr>
          <w:sz w:val="20"/>
          <w:szCs w:val="20"/>
        </w:rPr>
        <w:t>motives</w:t>
      </w:r>
      <w:r w:rsidR="004A2EC1" w:rsidRPr="009A7668">
        <w:rPr>
          <w:sz w:val="20"/>
          <w:szCs w:val="20"/>
        </w:rPr>
        <w:t>.</w:t>
      </w:r>
    </w:p>
    <w:p w:rsidR="00255A9D" w:rsidRPr="009A7668" w:rsidRDefault="00F17360" w:rsidP="00136C03">
      <w:pPr>
        <w:rPr>
          <w:iCs/>
          <w:sz w:val="20"/>
          <w:szCs w:val="20"/>
        </w:rPr>
      </w:pPr>
      <w:r w:rsidRPr="009A7668">
        <w:rPr>
          <w:iCs/>
          <w:sz w:val="20"/>
          <w:szCs w:val="20"/>
        </w:rPr>
        <w:t>I</w:t>
      </w:r>
      <w:r w:rsidR="00255A9D" w:rsidRPr="009A7668">
        <w:rPr>
          <w:iCs/>
          <w:sz w:val="20"/>
          <w:szCs w:val="20"/>
        </w:rPr>
        <w:t>n th</w:t>
      </w:r>
      <w:r w:rsidR="007349A6" w:rsidRPr="009A7668">
        <w:rPr>
          <w:iCs/>
          <w:sz w:val="20"/>
          <w:szCs w:val="20"/>
        </w:rPr>
        <w:t xml:space="preserve">e lead up to the 2012 election, </w:t>
      </w:r>
      <w:r w:rsidR="000E49F4" w:rsidRPr="009A7668">
        <w:rPr>
          <w:iCs/>
          <w:sz w:val="20"/>
          <w:szCs w:val="20"/>
        </w:rPr>
        <w:t xml:space="preserve">with the help of </w:t>
      </w:r>
      <w:r w:rsidR="007349A6" w:rsidRPr="009A7668">
        <w:rPr>
          <w:iCs/>
          <w:sz w:val="20"/>
          <w:szCs w:val="20"/>
        </w:rPr>
        <w:t xml:space="preserve">federal intervention and popular resistance, </w:t>
      </w:r>
      <w:r w:rsidR="00255A9D" w:rsidRPr="009A7668">
        <w:rPr>
          <w:iCs/>
          <w:sz w:val="20"/>
          <w:szCs w:val="20"/>
        </w:rPr>
        <w:t>10 courts in 7 states blocked, postponed or mitigated virtually all of the harshest new voting restrictions that were slate</w:t>
      </w:r>
      <w:r w:rsidR="007A0854" w:rsidRPr="009A7668">
        <w:rPr>
          <w:iCs/>
          <w:sz w:val="20"/>
          <w:szCs w:val="20"/>
        </w:rPr>
        <w:t>d to go into effect that year</w:t>
      </w:r>
      <w:r w:rsidR="000023B3" w:rsidRPr="009A7668">
        <w:rPr>
          <w:sz w:val="20"/>
          <w:szCs w:val="20"/>
        </w:rPr>
        <w:t>.</w:t>
      </w:r>
      <w:r w:rsidR="00AB6216" w:rsidRPr="009A7668">
        <w:rPr>
          <w:rStyle w:val="FootnoteReference"/>
          <w:sz w:val="20"/>
          <w:szCs w:val="20"/>
        </w:rPr>
        <w:footnoteReference w:id="23"/>
      </w:r>
      <w:r w:rsidR="000023B3" w:rsidRPr="009A7668">
        <w:rPr>
          <w:sz w:val="20"/>
          <w:szCs w:val="20"/>
        </w:rPr>
        <w:t xml:space="preserve"> </w:t>
      </w:r>
      <w:r w:rsidR="00494F63">
        <w:rPr>
          <w:sz w:val="20"/>
          <w:szCs w:val="20"/>
        </w:rPr>
        <w:t xml:space="preserve"> </w:t>
      </w:r>
      <w:r w:rsidR="0031268C" w:rsidRPr="009A7668">
        <w:rPr>
          <w:sz w:val="20"/>
          <w:szCs w:val="20"/>
        </w:rPr>
        <w:t>V</w:t>
      </w:r>
      <w:r w:rsidR="00255A9D" w:rsidRPr="009A7668">
        <w:rPr>
          <w:sz w:val="20"/>
          <w:szCs w:val="20"/>
        </w:rPr>
        <w:t>oter education</w:t>
      </w:r>
      <w:r w:rsidR="00402C00" w:rsidRPr="009A7668">
        <w:rPr>
          <w:sz w:val="20"/>
          <w:szCs w:val="20"/>
        </w:rPr>
        <w:t>, protection</w:t>
      </w:r>
      <w:r w:rsidR="00255A9D" w:rsidRPr="009A7668">
        <w:rPr>
          <w:sz w:val="20"/>
          <w:szCs w:val="20"/>
        </w:rPr>
        <w:t xml:space="preserve"> and mobilization all worked</w:t>
      </w:r>
      <w:r w:rsidR="008964A9" w:rsidRPr="009A7668">
        <w:rPr>
          <w:sz w:val="20"/>
          <w:szCs w:val="20"/>
        </w:rPr>
        <w:t>, supported by e</w:t>
      </w:r>
      <w:r w:rsidR="004C75FD" w:rsidRPr="009A7668">
        <w:rPr>
          <w:sz w:val="20"/>
          <w:szCs w:val="20"/>
        </w:rPr>
        <w:t xml:space="preserve">ffective and intense national and local media debates that inveighed against the laws and their rationales. </w:t>
      </w:r>
      <w:r w:rsidR="00D84EC8" w:rsidRPr="009A7668">
        <w:rPr>
          <w:sz w:val="20"/>
          <w:szCs w:val="20"/>
        </w:rPr>
        <w:t>T</w:t>
      </w:r>
      <w:r w:rsidR="00255A9D" w:rsidRPr="009A7668">
        <w:rPr>
          <w:sz w:val="20"/>
          <w:szCs w:val="20"/>
        </w:rPr>
        <w:t xml:space="preserve">urnout was high especially among low-income voters, communities of color, </w:t>
      </w:r>
      <w:r w:rsidR="003D4922" w:rsidRPr="009A7668">
        <w:rPr>
          <w:sz w:val="20"/>
          <w:szCs w:val="20"/>
        </w:rPr>
        <w:t>new voters, and young people.</w:t>
      </w:r>
    </w:p>
    <w:p w:rsidR="00853E6D" w:rsidRPr="009A7668" w:rsidRDefault="00F82F0D" w:rsidP="00136C03">
      <w:pPr>
        <w:rPr>
          <w:rFonts w:cs="Times New Roman"/>
          <w:b/>
          <w:sz w:val="20"/>
          <w:szCs w:val="20"/>
        </w:rPr>
      </w:pPr>
      <w:r w:rsidRPr="009A7668">
        <w:rPr>
          <w:rFonts w:cs="Times New Roman"/>
          <w:b/>
          <w:sz w:val="20"/>
          <w:szCs w:val="20"/>
        </w:rPr>
        <w:t>Post-</w:t>
      </w:r>
      <w:r w:rsidR="00E90116" w:rsidRPr="009A7668">
        <w:rPr>
          <w:rFonts w:cs="Times New Roman"/>
          <w:b/>
          <w:sz w:val="20"/>
          <w:szCs w:val="20"/>
        </w:rPr>
        <w:t>w</w:t>
      </w:r>
      <w:r w:rsidRPr="009A7668">
        <w:rPr>
          <w:rFonts w:cs="Times New Roman"/>
          <w:b/>
          <w:sz w:val="20"/>
          <w:szCs w:val="20"/>
        </w:rPr>
        <w:t xml:space="preserve">ar </w:t>
      </w:r>
      <w:r w:rsidR="00E90116" w:rsidRPr="009A7668">
        <w:rPr>
          <w:rFonts w:cs="Times New Roman"/>
          <w:b/>
          <w:sz w:val="20"/>
          <w:szCs w:val="20"/>
        </w:rPr>
        <w:t>a</w:t>
      </w:r>
      <w:r w:rsidRPr="009A7668">
        <w:rPr>
          <w:rFonts w:cs="Times New Roman"/>
          <w:b/>
          <w:sz w:val="20"/>
          <w:szCs w:val="20"/>
        </w:rPr>
        <w:t>nalysis</w:t>
      </w:r>
      <w:r w:rsidR="000A5FBC" w:rsidRPr="009A7668">
        <w:rPr>
          <w:rFonts w:cs="Times New Roman"/>
          <w:b/>
          <w:sz w:val="20"/>
          <w:szCs w:val="20"/>
        </w:rPr>
        <w:t xml:space="preserve">:  </w:t>
      </w:r>
      <w:r w:rsidR="00F24EF1" w:rsidRPr="009A7668">
        <w:rPr>
          <w:rFonts w:cs="Times New Roman"/>
          <w:b/>
          <w:sz w:val="20"/>
          <w:szCs w:val="20"/>
        </w:rPr>
        <w:t xml:space="preserve"> </w:t>
      </w:r>
    </w:p>
    <w:p w:rsidR="009A7668" w:rsidRPr="009A7668" w:rsidRDefault="0079391C" w:rsidP="009A7668">
      <w:pPr>
        <w:rPr>
          <w:sz w:val="20"/>
          <w:szCs w:val="20"/>
        </w:rPr>
      </w:pPr>
      <w:r w:rsidRPr="0079391C">
        <w:rPr>
          <w:sz w:val="20"/>
          <w:szCs w:val="20"/>
          <w:u w:val="single"/>
        </w:rPr>
        <w:t>Anticipating the war</w:t>
      </w:r>
      <w:r w:rsidR="009A7668" w:rsidRPr="009A7668">
        <w:rPr>
          <w:sz w:val="20"/>
          <w:szCs w:val="20"/>
        </w:rPr>
        <w:t xml:space="preserve">:  </w:t>
      </w:r>
      <w:r w:rsidR="002F02B7">
        <w:rPr>
          <w:sz w:val="20"/>
          <w:szCs w:val="20"/>
        </w:rPr>
        <w:t>We did not anticipate the extent of the backlash that would follow in the wake of the 2008 election.  M</w:t>
      </w:r>
      <w:r w:rsidR="009A7668" w:rsidRPr="009A7668">
        <w:rPr>
          <w:sz w:val="20"/>
          <w:szCs w:val="20"/>
        </w:rPr>
        <w:t xml:space="preserve">any on the right worked themselves into </w:t>
      </w:r>
      <w:proofErr w:type="gramStart"/>
      <w:r w:rsidR="009A7668" w:rsidRPr="009A7668">
        <w:rPr>
          <w:sz w:val="20"/>
          <w:szCs w:val="20"/>
        </w:rPr>
        <w:t>a frenzy</w:t>
      </w:r>
      <w:proofErr w:type="gramEnd"/>
      <w:r w:rsidR="009A7668" w:rsidRPr="009A7668">
        <w:rPr>
          <w:sz w:val="20"/>
          <w:szCs w:val="20"/>
        </w:rPr>
        <w:t xml:space="preserve"> over President Obama’s legitimacy, questioning his allegiance and his faith--and asserting he had won the White House in the first place because of some problem with the voting systems or fraud.</w:t>
      </w:r>
      <w:r w:rsidR="00BC372B">
        <w:rPr>
          <w:rStyle w:val="FootnoteReference"/>
          <w:sz w:val="20"/>
          <w:szCs w:val="20"/>
        </w:rPr>
        <w:footnoteReference w:id="24"/>
      </w:r>
      <w:r w:rsidR="009A7668" w:rsidRPr="009A7668">
        <w:rPr>
          <w:sz w:val="20"/>
          <w:szCs w:val="20"/>
        </w:rPr>
        <w:t xml:space="preserve"> We didn’t fully anticipate the Tea Party’s 2010 sweep–and they really pushed for restrictions on the franchise. There was broad fear that Obama represented a new demography—winning with a coalition of African-Americans, Latinos and younger voters--and that these groups had distinct social and economic interests supported by the Democratic Party. Obama’s coalition—and a black Attorney General heading up civil- and voting-rights enforcement—was a reminder that the Republicans’ older, largely white base left them vulnerable to these emerging demographic trends, which threaten</w:t>
      </w:r>
      <w:r w:rsidR="005746AD">
        <w:rPr>
          <w:sz w:val="20"/>
          <w:szCs w:val="20"/>
        </w:rPr>
        <w:t>ed</w:t>
      </w:r>
      <w:r w:rsidR="009A7668" w:rsidRPr="009A7668">
        <w:rPr>
          <w:sz w:val="20"/>
          <w:szCs w:val="20"/>
        </w:rPr>
        <w:t xml:space="preserve"> to reverse the racial dynamics that have governed American politics for decades. But it also left Democrats vulnerable to being painted as the party of big government whose primary goal is to expand programs that mainly benefit minorities. There followed hyper-aggressive discussion on the right of sabotaging Obama’s reelection and near-total obstruction of his legislative agenda. </w:t>
      </w:r>
      <w:r w:rsidR="002F02B7">
        <w:rPr>
          <w:sz w:val="20"/>
          <w:szCs w:val="20"/>
        </w:rPr>
        <w:t xml:space="preserve">Few </w:t>
      </w:r>
      <w:r w:rsidR="009A7668" w:rsidRPr="009A7668">
        <w:rPr>
          <w:sz w:val="20"/>
          <w:szCs w:val="20"/>
        </w:rPr>
        <w:t>forecast that th</w:t>
      </w:r>
      <w:r>
        <w:rPr>
          <w:sz w:val="20"/>
          <w:szCs w:val="20"/>
        </w:rPr>
        <w:t>is</w:t>
      </w:r>
      <w:r w:rsidR="009A7668" w:rsidRPr="009A7668">
        <w:rPr>
          <w:sz w:val="20"/>
          <w:szCs w:val="20"/>
        </w:rPr>
        <w:t xml:space="preserve"> </w:t>
      </w:r>
      <w:r>
        <w:rPr>
          <w:sz w:val="20"/>
          <w:szCs w:val="20"/>
        </w:rPr>
        <w:t xml:space="preserve">mix </w:t>
      </w:r>
      <w:r w:rsidR="009A7668" w:rsidRPr="009A7668">
        <w:rPr>
          <w:sz w:val="20"/>
          <w:szCs w:val="20"/>
        </w:rPr>
        <w:t xml:space="preserve">race and party would </w:t>
      </w:r>
      <w:r>
        <w:rPr>
          <w:sz w:val="20"/>
          <w:szCs w:val="20"/>
        </w:rPr>
        <w:t>entail such broad attacks on the franchise</w:t>
      </w:r>
      <w:r w:rsidR="009A7668" w:rsidRPr="009A7668">
        <w:rPr>
          <w:sz w:val="20"/>
          <w:szCs w:val="20"/>
        </w:rPr>
        <w:t xml:space="preserve">. Some grantees had warned of it, but the Democratic Party (with the exception of a few Congressional Black Caucus members) didn’t pay much attention to democracy issues. (Witness its failure to press </w:t>
      </w:r>
      <w:r w:rsidR="005746AD">
        <w:rPr>
          <w:sz w:val="20"/>
          <w:szCs w:val="20"/>
        </w:rPr>
        <w:t xml:space="preserve">registration reform </w:t>
      </w:r>
      <w:r w:rsidR="009A7668" w:rsidRPr="009A7668">
        <w:rPr>
          <w:sz w:val="20"/>
          <w:szCs w:val="20"/>
        </w:rPr>
        <w:t xml:space="preserve">in 2010 when given the chance.) </w:t>
      </w:r>
      <w:r>
        <w:rPr>
          <w:sz w:val="20"/>
          <w:szCs w:val="20"/>
        </w:rPr>
        <w:t xml:space="preserve">Still, </w:t>
      </w:r>
      <w:r w:rsidR="009A7668" w:rsidRPr="009A7668">
        <w:rPr>
          <w:sz w:val="20"/>
          <w:szCs w:val="20"/>
        </w:rPr>
        <w:t xml:space="preserve">no one conceived quite such a naked and wholesale attempt to alter especially the </w:t>
      </w:r>
      <w:r w:rsidR="009A7668" w:rsidRPr="0079391C">
        <w:rPr>
          <w:i/>
          <w:sz w:val="20"/>
          <w:szCs w:val="20"/>
        </w:rPr>
        <w:t>access</w:t>
      </w:r>
      <w:r w:rsidR="009A7668" w:rsidRPr="009A7668">
        <w:rPr>
          <w:sz w:val="20"/>
          <w:szCs w:val="20"/>
        </w:rPr>
        <w:t>-related rules of the game. </w:t>
      </w:r>
      <w:r>
        <w:rPr>
          <w:sz w:val="20"/>
          <w:szCs w:val="20"/>
        </w:rPr>
        <w:t xml:space="preserve"> So our post-war attempts to</w:t>
      </w:r>
      <w:r w:rsidR="009A7668" w:rsidRPr="009A7668">
        <w:rPr>
          <w:sz w:val="20"/>
          <w:szCs w:val="20"/>
        </w:rPr>
        <w:t xml:space="preserve"> move the debate </w:t>
      </w:r>
      <w:r>
        <w:rPr>
          <w:sz w:val="20"/>
          <w:szCs w:val="20"/>
        </w:rPr>
        <w:t>by showing</w:t>
      </w:r>
      <w:r w:rsidR="009A7668" w:rsidRPr="009A7668">
        <w:rPr>
          <w:sz w:val="20"/>
          <w:szCs w:val="20"/>
        </w:rPr>
        <w:t xml:space="preserve"> statistically significant fraud didn’t exist</w:t>
      </w:r>
      <w:r>
        <w:rPr>
          <w:sz w:val="20"/>
          <w:szCs w:val="20"/>
        </w:rPr>
        <w:t>, and w</w:t>
      </w:r>
      <w:r w:rsidR="009A7668" w:rsidRPr="009A7668">
        <w:rPr>
          <w:sz w:val="20"/>
          <w:szCs w:val="20"/>
        </w:rPr>
        <w:t xml:space="preserve">hen that didn’t </w:t>
      </w:r>
      <w:r>
        <w:rPr>
          <w:sz w:val="20"/>
          <w:szCs w:val="20"/>
        </w:rPr>
        <w:t xml:space="preserve">work, </w:t>
      </w:r>
      <w:r w:rsidR="00EE70B3">
        <w:rPr>
          <w:sz w:val="20"/>
          <w:szCs w:val="20"/>
        </w:rPr>
        <w:t xml:space="preserve">using </w:t>
      </w:r>
      <w:r w:rsidR="009A7668" w:rsidRPr="009A7668">
        <w:rPr>
          <w:sz w:val="20"/>
          <w:szCs w:val="20"/>
        </w:rPr>
        <w:t>cost-benefit arguments</w:t>
      </w:r>
      <w:r w:rsidR="00EE70B3">
        <w:rPr>
          <w:sz w:val="20"/>
          <w:szCs w:val="20"/>
        </w:rPr>
        <w:t xml:space="preserve"> in an environment of fiscal austerity</w:t>
      </w:r>
      <w:r w:rsidR="009A7668" w:rsidRPr="009A7668">
        <w:rPr>
          <w:sz w:val="20"/>
          <w:szCs w:val="20"/>
        </w:rPr>
        <w:t xml:space="preserve">, </w:t>
      </w:r>
      <w:r>
        <w:rPr>
          <w:sz w:val="20"/>
          <w:szCs w:val="20"/>
        </w:rPr>
        <w:t>were largely failures.</w:t>
      </w:r>
      <w:r w:rsidR="00EE70B3">
        <w:rPr>
          <w:rStyle w:val="FootnoteReference"/>
          <w:sz w:val="20"/>
          <w:szCs w:val="20"/>
        </w:rPr>
        <w:footnoteReference w:id="25"/>
      </w:r>
      <w:r>
        <w:rPr>
          <w:sz w:val="20"/>
          <w:szCs w:val="20"/>
        </w:rPr>
        <w:t xml:space="preserve"> L</w:t>
      </w:r>
      <w:r w:rsidR="009A7668" w:rsidRPr="009A7668">
        <w:rPr>
          <w:sz w:val="20"/>
          <w:szCs w:val="20"/>
        </w:rPr>
        <w:t xml:space="preserve">awmakers simply reintroduced defeated </w:t>
      </w:r>
      <w:r w:rsidR="00C55AD6">
        <w:rPr>
          <w:sz w:val="20"/>
          <w:szCs w:val="20"/>
        </w:rPr>
        <w:t>measures.</w:t>
      </w:r>
      <w:r w:rsidR="009A7668" w:rsidRPr="009A7668">
        <w:rPr>
          <w:sz w:val="20"/>
          <w:szCs w:val="20"/>
        </w:rPr>
        <w:t xml:space="preserve"> </w:t>
      </w:r>
      <w:r>
        <w:rPr>
          <w:sz w:val="20"/>
          <w:szCs w:val="20"/>
        </w:rPr>
        <w:t xml:space="preserve">In hindsight, </w:t>
      </w:r>
      <w:r w:rsidR="009A7668" w:rsidRPr="009A7668">
        <w:rPr>
          <w:sz w:val="20"/>
          <w:szCs w:val="20"/>
        </w:rPr>
        <w:t>the suppression wasn’t merely a partisan effort by a GOP fearing its mortality;</w:t>
      </w:r>
      <w:r w:rsidR="00C55AD6">
        <w:rPr>
          <w:rStyle w:val="FootnoteReference"/>
          <w:sz w:val="20"/>
          <w:szCs w:val="20"/>
        </w:rPr>
        <w:footnoteReference w:id="26"/>
      </w:r>
      <w:r w:rsidR="009A7668" w:rsidRPr="009A7668">
        <w:rPr>
          <w:sz w:val="20"/>
          <w:szCs w:val="20"/>
        </w:rPr>
        <w:t xml:space="preserve"> this w</w:t>
      </w:r>
      <w:r w:rsidR="008974B7">
        <w:rPr>
          <w:sz w:val="20"/>
          <w:szCs w:val="20"/>
        </w:rPr>
        <w:t>as also very much about race.</w:t>
      </w:r>
      <w:r w:rsidR="008974B7">
        <w:rPr>
          <w:rStyle w:val="FootnoteReference"/>
          <w:sz w:val="20"/>
          <w:szCs w:val="20"/>
        </w:rPr>
        <w:footnoteReference w:id="27"/>
      </w:r>
      <w:r w:rsidR="008974B7">
        <w:rPr>
          <w:sz w:val="20"/>
          <w:szCs w:val="20"/>
        </w:rPr>
        <w:t xml:space="preserve"> </w:t>
      </w:r>
      <w:r w:rsidR="009A7668" w:rsidRPr="009A7668">
        <w:rPr>
          <w:sz w:val="20"/>
          <w:szCs w:val="20"/>
        </w:rPr>
        <w:t xml:space="preserve"> It’s not surprising that states with surging minority populations saw the worst backlash: of the 11 states with the highest-African American turnout in 2008, seven passed laws making it more difficult for African-Americans to vote. Of the 12 states with the fastest growing Hispanic populations, 8 put new restrictions in place. Had we sooner related Obama’s election to the severity of the partisan, ideological and racist actions that followed the 2010 elections, we might have prepared for the onslaught of restrictions that followed those elections, including by beginning the air</w:t>
      </w:r>
      <w:r>
        <w:rPr>
          <w:sz w:val="20"/>
          <w:szCs w:val="20"/>
        </w:rPr>
        <w:t xml:space="preserve"> </w:t>
      </w:r>
      <w:r w:rsidR="009A7668" w:rsidRPr="009A7668">
        <w:rPr>
          <w:sz w:val="20"/>
          <w:szCs w:val="20"/>
        </w:rPr>
        <w:t>war we ultimately funded, and ensured that it deal</w:t>
      </w:r>
      <w:r w:rsidR="00FD3D48">
        <w:rPr>
          <w:sz w:val="20"/>
          <w:szCs w:val="20"/>
        </w:rPr>
        <w:t>t with this racism head on.</w:t>
      </w:r>
    </w:p>
    <w:p w:rsidR="009A7668" w:rsidRPr="009A7668" w:rsidRDefault="009A7668" w:rsidP="009A7668">
      <w:pPr>
        <w:rPr>
          <w:sz w:val="20"/>
          <w:szCs w:val="20"/>
        </w:rPr>
      </w:pPr>
      <w:r w:rsidRPr="0079391C">
        <w:rPr>
          <w:sz w:val="20"/>
          <w:szCs w:val="20"/>
          <w:u w:val="single"/>
        </w:rPr>
        <w:t>The role of other players</w:t>
      </w:r>
      <w:r w:rsidRPr="009A7668">
        <w:rPr>
          <w:sz w:val="20"/>
          <w:szCs w:val="20"/>
        </w:rPr>
        <w:t xml:space="preserve">:  </w:t>
      </w:r>
      <w:r w:rsidR="00046758">
        <w:rPr>
          <w:sz w:val="20"/>
          <w:szCs w:val="20"/>
        </w:rPr>
        <w:t xml:space="preserve">We weren’t the only force trying to dismantle voting barriers, and our efforts ought to be </w:t>
      </w:r>
      <w:r w:rsidR="001D2E2D">
        <w:rPr>
          <w:sz w:val="20"/>
          <w:szCs w:val="20"/>
        </w:rPr>
        <w:t xml:space="preserve">understood in light of them. </w:t>
      </w:r>
      <w:r w:rsidR="00E2191B">
        <w:rPr>
          <w:sz w:val="20"/>
          <w:szCs w:val="20"/>
        </w:rPr>
        <w:t>Political parties, and others like t</w:t>
      </w:r>
      <w:r w:rsidRPr="009A7668">
        <w:rPr>
          <w:sz w:val="20"/>
          <w:szCs w:val="20"/>
        </w:rPr>
        <w:t>he Kochs</w:t>
      </w:r>
      <w:r w:rsidR="00046758">
        <w:rPr>
          <w:sz w:val="20"/>
          <w:szCs w:val="20"/>
        </w:rPr>
        <w:t xml:space="preserve"> </w:t>
      </w:r>
      <w:r w:rsidR="00E2191B">
        <w:rPr>
          <w:sz w:val="20"/>
          <w:szCs w:val="20"/>
        </w:rPr>
        <w:t>(</w:t>
      </w:r>
      <w:r w:rsidR="00046758" w:rsidRPr="009A7668">
        <w:rPr>
          <w:sz w:val="20"/>
          <w:szCs w:val="20"/>
        </w:rPr>
        <w:t>and their extensions</w:t>
      </w:r>
      <w:r w:rsidR="00E2191B">
        <w:rPr>
          <w:sz w:val="20"/>
          <w:szCs w:val="20"/>
        </w:rPr>
        <w:t>)</w:t>
      </w:r>
      <w:r w:rsidR="00046758" w:rsidRPr="009A7668">
        <w:rPr>
          <w:sz w:val="20"/>
          <w:szCs w:val="20"/>
        </w:rPr>
        <w:t>,</w:t>
      </w:r>
      <w:r w:rsidR="00046758">
        <w:rPr>
          <w:sz w:val="20"/>
          <w:szCs w:val="20"/>
        </w:rPr>
        <w:t xml:space="preserve"> </w:t>
      </w:r>
      <w:r w:rsidR="00D823EF">
        <w:rPr>
          <w:sz w:val="20"/>
          <w:szCs w:val="20"/>
        </w:rPr>
        <w:t>were spending</w:t>
      </w:r>
      <w:r w:rsidR="005D2A84">
        <w:rPr>
          <w:sz w:val="20"/>
          <w:szCs w:val="20"/>
        </w:rPr>
        <w:t xml:space="preserve">, for contrary ends (and </w:t>
      </w:r>
      <w:r w:rsidR="00046758">
        <w:rPr>
          <w:sz w:val="20"/>
          <w:szCs w:val="20"/>
        </w:rPr>
        <w:t xml:space="preserve">to </w:t>
      </w:r>
      <w:r w:rsidR="00046758" w:rsidRPr="009A7668">
        <w:rPr>
          <w:sz w:val="20"/>
          <w:szCs w:val="20"/>
        </w:rPr>
        <w:t>influence election outcomes</w:t>
      </w:r>
      <w:r w:rsidR="005D2A84">
        <w:rPr>
          <w:sz w:val="20"/>
          <w:szCs w:val="20"/>
        </w:rPr>
        <w:t>)</w:t>
      </w:r>
      <w:r w:rsidR="00046758">
        <w:rPr>
          <w:sz w:val="20"/>
          <w:szCs w:val="20"/>
        </w:rPr>
        <w:t xml:space="preserve">. </w:t>
      </w:r>
      <w:r w:rsidR="00BC6324">
        <w:rPr>
          <w:sz w:val="20"/>
          <w:szCs w:val="20"/>
        </w:rPr>
        <w:t xml:space="preserve">While USP spent a total of about $8 million on the 2012 elections, </w:t>
      </w:r>
      <w:r w:rsidR="005D2A84">
        <w:rPr>
          <w:sz w:val="20"/>
          <w:szCs w:val="20"/>
        </w:rPr>
        <w:t xml:space="preserve">and total foundation spending neared $47 million, </w:t>
      </w:r>
      <w:r w:rsidR="00BC6324">
        <w:rPr>
          <w:sz w:val="20"/>
          <w:szCs w:val="20"/>
        </w:rPr>
        <w:t>t</w:t>
      </w:r>
      <w:r w:rsidR="00046758">
        <w:rPr>
          <w:sz w:val="20"/>
          <w:szCs w:val="20"/>
        </w:rPr>
        <w:t>he</w:t>
      </w:r>
      <w:r w:rsidR="00E2191B">
        <w:rPr>
          <w:sz w:val="20"/>
          <w:szCs w:val="20"/>
        </w:rPr>
        <w:t xml:space="preserve"> Kochs</w:t>
      </w:r>
      <w:r w:rsidR="0012164B">
        <w:rPr>
          <w:sz w:val="20"/>
          <w:szCs w:val="20"/>
        </w:rPr>
        <w:t xml:space="preserve"> alone</w:t>
      </w:r>
      <w:r w:rsidR="00BC6324">
        <w:rPr>
          <w:sz w:val="20"/>
          <w:szCs w:val="20"/>
        </w:rPr>
        <w:t xml:space="preserve"> – with </w:t>
      </w:r>
      <w:r w:rsidRPr="009A7668">
        <w:rPr>
          <w:sz w:val="20"/>
          <w:szCs w:val="20"/>
        </w:rPr>
        <w:t>operations in dozens of states</w:t>
      </w:r>
      <w:r w:rsidR="00BC6324">
        <w:rPr>
          <w:sz w:val="20"/>
          <w:szCs w:val="20"/>
        </w:rPr>
        <w:t xml:space="preserve"> - </w:t>
      </w:r>
      <w:r w:rsidRPr="009A7668">
        <w:rPr>
          <w:sz w:val="20"/>
          <w:szCs w:val="20"/>
        </w:rPr>
        <w:t>spent around $440 million</w:t>
      </w:r>
      <w:r w:rsidR="00BC6324">
        <w:rPr>
          <w:sz w:val="20"/>
          <w:szCs w:val="20"/>
        </w:rPr>
        <w:t>,</w:t>
      </w:r>
      <w:r w:rsidRPr="009A7668">
        <w:rPr>
          <w:sz w:val="20"/>
          <w:szCs w:val="20"/>
        </w:rPr>
        <w:t xml:space="preserve"> </w:t>
      </w:r>
      <w:r w:rsidR="00BC6324">
        <w:rPr>
          <w:sz w:val="20"/>
          <w:szCs w:val="20"/>
        </w:rPr>
        <w:t xml:space="preserve">on what </w:t>
      </w:r>
      <w:r w:rsidRPr="009A7668">
        <w:rPr>
          <w:sz w:val="20"/>
          <w:szCs w:val="20"/>
        </w:rPr>
        <w:t xml:space="preserve">they termed a battle "for the life or death of this country." Their spending </w:t>
      </w:r>
      <w:r w:rsidR="00BC6324">
        <w:rPr>
          <w:sz w:val="20"/>
          <w:szCs w:val="20"/>
        </w:rPr>
        <w:t xml:space="preserve">also </w:t>
      </w:r>
      <w:r w:rsidRPr="009A7668">
        <w:rPr>
          <w:sz w:val="20"/>
          <w:szCs w:val="20"/>
        </w:rPr>
        <w:t>beat that of the top 10 labor unions combined that year, and topped the total amount spent by presidential candidates that cycle. Unions partnered with the field to fund litigation and otherwise sought to stem harmful policies, and were especially useful in state-level battles. But ultimately they spent their resources to support candidates, as did other big players like Planned Parenthood. </w:t>
      </w:r>
      <w:r w:rsidR="0012164B">
        <w:rPr>
          <w:sz w:val="20"/>
          <w:szCs w:val="20"/>
        </w:rPr>
        <w:t>(</w:t>
      </w:r>
      <w:r w:rsidR="00324727">
        <w:rPr>
          <w:sz w:val="20"/>
          <w:szCs w:val="20"/>
        </w:rPr>
        <w:t>S</w:t>
      </w:r>
      <w:r w:rsidR="0012164B">
        <w:rPr>
          <w:sz w:val="20"/>
          <w:szCs w:val="20"/>
        </w:rPr>
        <w:t>ee annexed charts</w:t>
      </w:r>
      <w:r w:rsidR="001D2E2D">
        <w:rPr>
          <w:sz w:val="20"/>
          <w:szCs w:val="20"/>
        </w:rPr>
        <w:t xml:space="preserve"> analyzing </w:t>
      </w:r>
      <w:r w:rsidR="00DD63DE">
        <w:rPr>
          <w:sz w:val="20"/>
          <w:szCs w:val="20"/>
        </w:rPr>
        <w:t xml:space="preserve">USP and external foundation </w:t>
      </w:r>
      <w:r w:rsidR="001D2E2D">
        <w:rPr>
          <w:sz w:val="20"/>
          <w:szCs w:val="20"/>
        </w:rPr>
        <w:t>funding</w:t>
      </w:r>
      <w:r w:rsidR="0012164B">
        <w:rPr>
          <w:sz w:val="20"/>
          <w:szCs w:val="20"/>
        </w:rPr>
        <w:t>.)</w:t>
      </w:r>
    </w:p>
    <w:p w:rsidR="00316B1E" w:rsidRPr="009A7668" w:rsidRDefault="009A7668" w:rsidP="009A7668">
      <w:pPr>
        <w:pStyle w:val="Heading1"/>
        <w:shd w:val="clear" w:color="auto" w:fill="FFFFFF"/>
        <w:spacing w:before="0" w:beforeAutospacing="0" w:after="0" w:afterAutospacing="0" w:line="276" w:lineRule="atLeast"/>
        <w:textAlignment w:val="baseline"/>
        <w:rPr>
          <w:rFonts w:asciiTheme="minorHAnsi" w:hAnsiTheme="minorHAnsi"/>
          <w:b w:val="0"/>
          <w:sz w:val="20"/>
          <w:szCs w:val="20"/>
        </w:rPr>
      </w:pPr>
      <w:r w:rsidRPr="0079391C">
        <w:rPr>
          <w:rFonts w:asciiTheme="minorHAnsi" w:hAnsiTheme="minorHAnsi"/>
          <w:b w:val="0"/>
          <w:bCs w:val="0"/>
          <w:color w:val="000000"/>
          <w:sz w:val="20"/>
          <w:szCs w:val="20"/>
          <w:u w:val="single"/>
        </w:rPr>
        <w:t xml:space="preserve"> Communications</w:t>
      </w:r>
      <w:r w:rsidRPr="009A7668">
        <w:rPr>
          <w:rFonts w:asciiTheme="minorHAnsi" w:hAnsiTheme="minorHAnsi"/>
          <w:b w:val="0"/>
          <w:bCs w:val="0"/>
          <w:color w:val="000000"/>
          <w:sz w:val="20"/>
          <w:szCs w:val="20"/>
        </w:rPr>
        <w:t xml:space="preserve">: </w:t>
      </w:r>
      <w:r w:rsidR="003534F0" w:rsidRPr="009A7668">
        <w:rPr>
          <w:rFonts w:asciiTheme="minorHAnsi" w:hAnsiTheme="minorHAnsi"/>
          <w:b w:val="0"/>
          <w:sz w:val="20"/>
          <w:szCs w:val="20"/>
        </w:rPr>
        <w:t>The communications grants helped win the 2012 battle but won’t help win the war</w:t>
      </w:r>
      <w:r w:rsidRPr="009A7668">
        <w:rPr>
          <w:rFonts w:asciiTheme="minorHAnsi" w:hAnsiTheme="minorHAnsi"/>
          <w:b w:val="0"/>
          <w:sz w:val="20"/>
          <w:szCs w:val="20"/>
        </w:rPr>
        <w:t>.</w:t>
      </w:r>
      <w:r w:rsidR="003534F0" w:rsidRPr="009A7668">
        <w:rPr>
          <w:rFonts w:asciiTheme="minorHAnsi" w:hAnsiTheme="minorHAnsi"/>
          <w:sz w:val="20"/>
          <w:szCs w:val="20"/>
        </w:rPr>
        <w:t xml:space="preserve"> </w:t>
      </w:r>
      <w:r w:rsidR="003534F0" w:rsidRPr="009A7668">
        <w:rPr>
          <w:rFonts w:asciiTheme="minorHAnsi" w:hAnsiTheme="minorHAnsi"/>
          <w:b w:val="0"/>
          <w:sz w:val="20"/>
          <w:szCs w:val="20"/>
        </w:rPr>
        <w:t xml:space="preserve">When </w:t>
      </w:r>
      <w:r w:rsidR="00AA6B46" w:rsidRPr="009A7668">
        <w:rPr>
          <w:rFonts w:asciiTheme="minorHAnsi" w:hAnsiTheme="minorHAnsi"/>
          <w:b w:val="0"/>
          <w:sz w:val="20"/>
          <w:szCs w:val="20"/>
        </w:rPr>
        <w:t xml:space="preserve">we moved </w:t>
      </w:r>
      <w:r w:rsidR="0071155C" w:rsidRPr="009A7668">
        <w:rPr>
          <w:rFonts w:asciiTheme="minorHAnsi" w:hAnsiTheme="minorHAnsi"/>
          <w:b w:val="0"/>
          <w:sz w:val="20"/>
          <w:szCs w:val="20"/>
        </w:rPr>
        <w:t xml:space="preserve">to a communications </w:t>
      </w:r>
      <w:r w:rsidR="00056B98" w:rsidRPr="009A7668">
        <w:rPr>
          <w:rFonts w:asciiTheme="minorHAnsi" w:hAnsiTheme="minorHAnsi"/>
          <w:b w:val="0"/>
          <w:sz w:val="20"/>
          <w:szCs w:val="20"/>
        </w:rPr>
        <w:t xml:space="preserve">strategy to </w:t>
      </w:r>
      <w:r w:rsidR="006215AF" w:rsidRPr="009A7668">
        <w:rPr>
          <w:rFonts w:asciiTheme="minorHAnsi" w:hAnsiTheme="minorHAnsi"/>
          <w:b w:val="0"/>
          <w:sz w:val="20"/>
          <w:szCs w:val="20"/>
        </w:rPr>
        <w:t xml:space="preserve">undermine </w:t>
      </w:r>
      <w:r w:rsidR="00253F73" w:rsidRPr="009A7668">
        <w:rPr>
          <w:rFonts w:asciiTheme="minorHAnsi" w:hAnsiTheme="minorHAnsi"/>
          <w:b w:val="0"/>
          <w:sz w:val="20"/>
          <w:szCs w:val="20"/>
        </w:rPr>
        <w:t xml:space="preserve">the </w:t>
      </w:r>
      <w:r w:rsidR="006215AF" w:rsidRPr="009A7668">
        <w:rPr>
          <w:rFonts w:asciiTheme="minorHAnsi" w:hAnsiTheme="minorHAnsi"/>
          <w:b w:val="0"/>
          <w:sz w:val="20"/>
          <w:szCs w:val="20"/>
        </w:rPr>
        <w:t xml:space="preserve">case for the </w:t>
      </w:r>
      <w:r w:rsidR="00253F73" w:rsidRPr="009A7668">
        <w:rPr>
          <w:rFonts w:asciiTheme="minorHAnsi" w:hAnsiTheme="minorHAnsi"/>
          <w:b w:val="0"/>
          <w:sz w:val="20"/>
          <w:szCs w:val="20"/>
        </w:rPr>
        <w:t>restrictions</w:t>
      </w:r>
      <w:r w:rsidR="003534F0" w:rsidRPr="009A7668">
        <w:rPr>
          <w:rFonts w:asciiTheme="minorHAnsi" w:hAnsiTheme="minorHAnsi"/>
          <w:b w:val="0"/>
          <w:sz w:val="20"/>
          <w:szCs w:val="20"/>
        </w:rPr>
        <w:t xml:space="preserve">, </w:t>
      </w:r>
      <w:r w:rsidR="00A509A8" w:rsidRPr="009A7668">
        <w:rPr>
          <w:rFonts w:asciiTheme="minorHAnsi" w:hAnsiTheme="minorHAnsi"/>
          <w:b w:val="0"/>
          <w:sz w:val="20"/>
          <w:szCs w:val="20"/>
        </w:rPr>
        <w:t>w</w:t>
      </w:r>
      <w:r w:rsidR="00AA42C2" w:rsidRPr="009A7668">
        <w:rPr>
          <w:rFonts w:asciiTheme="minorHAnsi" w:hAnsiTheme="minorHAnsi"/>
          <w:b w:val="0"/>
          <w:sz w:val="20"/>
          <w:szCs w:val="20"/>
        </w:rPr>
        <w:t xml:space="preserve">e </w:t>
      </w:r>
      <w:r w:rsidR="00000962" w:rsidRPr="009A7668">
        <w:rPr>
          <w:rFonts w:asciiTheme="minorHAnsi" w:hAnsiTheme="minorHAnsi"/>
          <w:b w:val="0"/>
          <w:sz w:val="20"/>
          <w:szCs w:val="20"/>
        </w:rPr>
        <w:t xml:space="preserve">justified the substantial </w:t>
      </w:r>
      <w:r w:rsidR="00AA42C2" w:rsidRPr="009A7668">
        <w:rPr>
          <w:rFonts w:asciiTheme="minorHAnsi" w:hAnsiTheme="minorHAnsi"/>
          <w:b w:val="0"/>
          <w:sz w:val="20"/>
          <w:szCs w:val="20"/>
        </w:rPr>
        <w:t xml:space="preserve">investment </w:t>
      </w:r>
      <w:r w:rsidR="00000962" w:rsidRPr="009A7668">
        <w:rPr>
          <w:rFonts w:asciiTheme="minorHAnsi" w:hAnsiTheme="minorHAnsi"/>
          <w:b w:val="0"/>
          <w:sz w:val="20"/>
          <w:szCs w:val="20"/>
        </w:rPr>
        <w:t xml:space="preserve">in part as one that </w:t>
      </w:r>
      <w:r w:rsidR="00AA42C2" w:rsidRPr="009A7668">
        <w:rPr>
          <w:rFonts w:asciiTheme="minorHAnsi" w:hAnsiTheme="minorHAnsi"/>
          <w:b w:val="0"/>
          <w:sz w:val="20"/>
          <w:szCs w:val="20"/>
        </w:rPr>
        <w:t>would have enduring value.</w:t>
      </w:r>
      <w:r w:rsidR="00C44897" w:rsidRPr="009A7668">
        <w:rPr>
          <w:rStyle w:val="FootnoteReference"/>
          <w:rFonts w:asciiTheme="minorHAnsi" w:hAnsiTheme="minorHAnsi"/>
          <w:b w:val="0"/>
          <w:sz w:val="20"/>
          <w:szCs w:val="20"/>
        </w:rPr>
        <w:footnoteReference w:id="28"/>
      </w:r>
      <w:r w:rsidR="0040043A" w:rsidRPr="009A7668">
        <w:rPr>
          <w:rFonts w:asciiTheme="minorHAnsi" w:hAnsiTheme="minorHAnsi"/>
          <w:b w:val="0"/>
          <w:sz w:val="20"/>
          <w:szCs w:val="20"/>
        </w:rPr>
        <w:t xml:space="preserve"> </w:t>
      </w:r>
      <w:r w:rsidR="00363444" w:rsidRPr="009A7668">
        <w:rPr>
          <w:rFonts w:asciiTheme="minorHAnsi" w:hAnsiTheme="minorHAnsi"/>
          <w:b w:val="0"/>
          <w:sz w:val="20"/>
          <w:szCs w:val="20"/>
        </w:rPr>
        <w:t xml:space="preserve">While </w:t>
      </w:r>
      <w:r w:rsidR="00674FF0" w:rsidRPr="009A7668">
        <w:rPr>
          <w:rFonts w:asciiTheme="minorHAnsi" w:hAnsiTheme="minorHAnsi"/>
          <w:b w:val="0"/>
          <w:sz w:val="20"/>
          <w:szCs w:val="20"/>
        </w:rPr>
        <w:t xml:space="preserve">it </w:t>
      </w:r>
      <w:r w:rsidR="00C44897" w:rsidRPr="009A7668">
        <w:rPr>
          <w:rFonts w:asciiTheme="minorHAnsi" w:hAnsiTheme="minorHAnsi"/>
          <w:b w:val="0"/>
          <w:sz w:val="20"/>
          <w:szCs w:val="20"/>
        </w:rPr>
        <w:t>very likely</w:t>
      </w:r>
      <w:r w:rsidR="00674FF0" w:rsidRPr="009A7668">
        <w:rPr>
          <w:rFonts w:asciiTheme="minorHAnsi" w:hAnsiTheme="minorHAnsi"/>
          <w:b w:val="0"/>
          <w:sz w:val="20"/>
          <w:szCs w:val="20"/>
        </w:rPr>
        <w:t xml:space="preserve"> </w:t>
      </w:r>
      <w:r w:rsidR="00AA42C2" w:rsidRPr="009A7668">
        <w:rPr>
          <w:rFonts w:asciiTheme="minorHAnsi" w:hAnsiTheme="minorHAnsi"/>
          <w:b w:val="0"/>
          <w:sz w:val="20"/>
          <w:szCs w:val="20"/>
        </w:rPr>
        <w:t xml:space="preserve">protected </w:t>
      </w:r>
      <w:r w:rsidR="00C44897" w:rsidRPr="009A7668">
        <w:rPr>
          <w:rFonts w:asciiTheme="minorHAnsi" w:hAnsiTheme="minorHAnsi"/>
          <w:b w:val="0"/>
          <w:sz w:val="20"/>
          <w:szCs w:val="20"/>
        </w:rPr>
        <w:t xml:space="preserve">one </w:t>
      </w:r>
      <w:r w:rsidR="00363444" w:rsidRPr="009A7668">
        <w:rPr>
          <w:rFonts w:asciiTheme="minorHAnsi" w:hAnsiTheme="minorHAnsi"/>
          <w:b w:val="0"/>
          <w:sz w:val="20"/>
          <w:szCs w:val="20"/>
        </w:rPr>
        <w:t xml:space="preserve">important </w:t>
      </w:r>
      <w:r w:rsidR="00C44897" w:rsidRPr="009A7668">
        <w:rPr>
          <w:rFonts w:asciiTheme="minorHAnsi" w:hAnsiTheme="minorHAnsi"/>
          <w:b w:val="0"/>
          <w:sz w:val="20"/>
          <w:szCs w:val="20"/>
        </w:rPr>
        <w:t xml:space="preserve">national </w:t>
      </w:r>
      <w:r w:rsidR="00363444" w:rsidRPr="009A7668">
        <w:rPr>
          <w:rFonts w:asciiTheme="minorHAnsi" w:hAnsiTheme="minorHAnsi"/>
          <w:b w:val="0"/>
          <w:sz w:val="20"/>
          <w:szCs w:val="20"/>
        </w:rPr>
        <w:t xml:space="preserve">election, </w:t>
      </w:r>
      <w:r w:rsidR="00CE3341" w:rsidRPr="009A7668">
        <w:rPr>
          <w:rFonts w:asciiTheme="minorHAnsi" w:hAnsiTheme="minorHAnsi"/>
          <w:b w:val="0"/>
          <w:sz w:val="20"/>
          <w:szCs w:val="20"/>
        </w:rPr>
        <w:t xml:space="preserve">it </w:t>
      </w:r>
      <w:r w:rsidR="00590131" w:rsidRPr="009A7668">
        <w:rPr>
          <w:rFonts w:asciiTheme="minorHAnsi" w:hAnsiTheme="minorHAnsi"/>
          <w:b w:val="0"/>
          <w:sz w:val="20"/>
          <w:szCs w:val="20"/>
        </w:rPr>
        <w:t xml:space="preserve">was </w:t>
      </w:r>
      <w:r w:rsidR="00CE3341" w:rsidRPr="009A7668">
        <w:rPr>
          <w:rFonts w:asciiTheme="minorHAnsi" w:hAnsiTheme="minorHAnsi"/>
          <w:b w:val="0"/>
          <w:sz w:val="20"/>
          <w:szCs w:val="20"/>
        </w:rPr>
        <w:t xml:space="preserve">neither </w:t>
      </w:r>
      <w:r w:rsidR="00590131" w:rsidRPr="009A7668">
        <w:rPr>
          <w:rFonts w:asciiTheme="minorHAnsi" w:hAnsiTheme="minorHAnsi"/>
          <w:b w:val="0"/>
          <w:sz w:val="20"/>
          <w:szCs w:val="20"/>
        </w:rPr>
        <w:t xml:space="preserve">uniformly useful </w:t>
      </w:r>
      <w:r w:rsidR="00CE3341" w:rsidRPr="009A7668">
        <w:rPr>
          <w:rFonts w:asciiTheme="minorHAnsi" w:hAnsiTheme="minorHAnsi"/>
          <w:b w:val="0"/>
          <w:sz w:val="20"/>
          <w:szCs w:val="20"/>
        </w:rPr>
        <w:t xml:space="preserve">nor has it all stood the test of </w:t>
      </w:r>
      <w:r w:rsidR="006663FB" w:rsidRPr="009A7668">
        <w:rPr>
          <w:rFonts w:asciiTheme="minorHAnsi" w:hAnsiTheme="minorHAnsi"/>
          <w:b w:val="0"/>
          <w:sz w:val="20"/>
          <w:szCs w:val="20"/>
        </w:rPr>
        <w:t>time thus far.</w:t>
      </w:r>
      <w:r w:rsidR="00590131" w:rsidRPr="009A7668">
        <w:rPr>
          <w:rFonts w:asciiTheme="minorHAnsi" w:hAnsiTheme="minorHAnsi"/>
          <w:b w:val="0"/>
          <w:sz w:val="20"/>
          <w:szCs w:val="20"/>
        </w:rPr>
        <w:t xml:space="preserve"> </w:t>
      </w:r>
      <w:r w:rsidR="00690BB8" w:rsidRPr="009A7668">
        <w:rPr>
          <w:rFonts w:asciiTheme="minorHAnsi" w:hAnsiTheme="minorHAnsi"/>
          <w:b w:val="0"/>
          <w:sz w:val="20"/>
          <w:szCs w:val="20"/>
        </w:rPr>
        <w:t xml:space="preserve"> </w:t>
      </w:r>
      <w:r w:rsidR="00CE3341" w:rsidRPr="009A7668">
        <w:rPr>
          <w:rFonts w:asciiTheme="minorHAnsi" w:hAnsiTheme="minorHAnsi"/>
          <w:b w:val="0"/>
          <w:sz w:val="20"/>
          <w:szCs w:val="20"/>
        </w:rPr>
        <w:t>T</w:t>
      </w:r>
      <w:r w:rsidR="00590131" w:rsidRPr="009A7668">
        <w:rPr>
          <w:rFonts w:asciiTheme="minorHAnsi" w:hAnsiTheme="minorHAnsi"/>
          <w:b w:val="0"/>
          <w:sz w:val="20"/>
          <w:szCs w:val="20"/>
        </w:rPr>
        <w:t>he second best</w:t>
      </w:r>
      <w:r w:rsidR="006663FB" w:rsidRPr="009A7668">
        <w:rPr>
          <w:rFonts w:asciiTheme="minorHAnsi" w:hAnsiTheme="minorHAnsi"/>
          <w:b w:val="0"/>
          <w:sz w:val="20"/>
          <w:szCs w:val="20"/>
        </w:rPr>
        <w:t xml:space="preserve"> argument that</w:t>
      </w:r>
      <w:r w:rsidR="00590131" w:rsidRPr="009A7668">
        <w:rPr>
          <w:rFonts w:asciiTheme="minorHAnsi" w:hAnsiTheme="minorHAnsi"/>
          <w:b w:val="0"/>
          <w:sz w:val="20"/>
          <w:szCs w:val="20"/>
        </w:rPr>
        <w:t xml:space="preserve"> research identified – that the focus of anger at repressive policies should be on “[unpleasant] politicians” - is </w:t>
      </w:r>
      <w:r w:rsidR="00CE3341" w:rsidRPr="009A7668">
        <w:rPr>
          <w:rFonts w:asciiTheme="minorHAnsi" w:hAnsiTheme="minorHAnsi"/>
          <w:b w:val="0"/>
          <w:sz w:val="20"/>
          <w:szCs w:val="20"/>
        </w:rPr>
        <w:t>un</w:t>
      </w:r>
      <w:r w:rsidR="00590131" w:rsidRPr="009A7668">
        <w:rPr>
          <w:rFonts w:asciiTheme="minorHAnsi" w:hAnsiTheme="minorHAnsi"/>
          <w:b w:val="0"/>
          <w:sz w:val="20"/>
          <w:szCs w:val="20"/>
        </w:rPr>
        <w:t xml:space="preserve">helpful, given </w:t>
      </w:r>
      <w:r w:rsidR="00CE3341" w:rsidRPr="009A7668">
        <w:rPr>
          <w:rFonts w:asciiTheme="minorHAnsi" w:hAnsiTheme="minorHAnsi"/>
          <w:b w:val="0"/>
          <w:sz w:val="20"/>
          <w:szCs w:val="20"/>
        </w:rPr>
        <w:t xml:space="preserve">the </w:t>
      </w:r>
      <w:r w:rsidR="00FA16E4" w:rsidRPr="009A7668">
        <w:rPr>
          <w:rFonts w:asciiTheme="minorHAnsi" w:hAnsiTheme="minorHAnsi"/>
          <w:b w:val="0"/>
          <w:sz w:val="20"/>
          <w:szCs w:val="20"/>
        </w:rPr>
        <w:t xml:space="preserve">historic </w:t>
      </w:r>
      <w:r w:rsidR="00CE3341" w:rsidRPr="009A7668">
        <w:rPr>
          <w:rFonts w:asciiTheme="minorHAnsi" w:hAnsiTheme="minorHAnsi"/>
          <w:b w:val="0"/>
          <w:sz w:val="20"/>
          <w:szCs w:val="20"/>
        </w:rPr>
        <w:t>level</w:t>
      </w:r>
      <w:r w:rsidR="00141B8B" w:rsidRPr="009A7668">
        <w:rPr>
          <w:rFonts w:asciiTheme="minorHAnsi" w:hAnsiTheme="minorHAnsi"/>
          <w:b w:val="0"/>
          <w:sz w:val="20"/>
          <w:szCs w:val="20"/>
        </w:rPr>
        <w:t>s</w:t>
      </w:r>
      <w:r w:rsidR="00CE3341" w:rsidRPr="009A7668">
        <w:rPr>
          <w:rFonts w:asciiTheme="minorHAnsi" w:hAnsiTheme="minorHAnsi"/>
          <w:b w:val="0"/>
          <w:sz w:val="20"/>
          <w:szCs w:val="20"/>
        </w:rPr>
        <w:t xml:space="preserve"> of voter apathy</w:t>
      </w:r>
      <w:r w:rsidR="006215AF" w:rsidRPr="009A7668">
        <w:rPr>
          <w:rFonts w:asciiTheme="minorHAnsi" w:hAnsiTheme="minorHAnsi"/>
          <w:b w:val="0"/>
          <w:sz w:val="20"/>
          <w:szCs w:val="20"/>
        </w:rPr>
        <w:t>,</w:t>
      </w:r>
      <w:r w:rsidR="00FA16E4" w:rsidRPr="009A7668">
        <w:rPr>
          <w:rFonts w:asciiTheme="minorHAnsi" w:hAnsiTheme="minorHAnsi"/>
          <w:b w:val="0"/>
          <w:sz w:val="20"/>
          <w:szCs w:val="20"/>
        </w:rPr>
        <w:t xml:space="preserve"> </w:t>
      </w:r>
      <w:r w:rsidR="001E6065" w:rsidRPr="009A7668">
        <w:rPr>
          <w:rFonts w:asciiTheme="minorHAnsi" w:hAnsiTheme="minorHAnsi"/>
          <w:b w:val="0"/>
          <w:sz w:val="20"/>
          <w:szCs w:val="20"/>
        </w:rPr>
        <w:t>disenchantment with government,</w:t>
      </w:r>
      <w:r w:rsidR="00CE3341" w:rsidRPr="009A7668">
        <w:rPr>
          <w:rFonts w:asciiTheme="minorHAnsi" w:hAnsiTheme="minorHAnsi"/>
          <w:b w:val="0"/>
          <w:sz w:val="20"/>
          <w:szCs w:val="20"/>
        </w:rPr>
        <w:t xml:space="preserve"> and </w:t>
      </w:r>
      <w:r w:rsidR="00590131" w:rsidRPr="009A7668">
        <w:rPr>
          <w:rFonts w:asciiTheme="minorHAnsi" w:hAnsiTheme="minorHAnsi"/>
          <w:b w:val="0"/>
          <w:sz w:val="20"/>
          <w:szCs w:val="20"/>
        </w:rPr>
        <w:t>political</w:t>
      </w:r>
      <w:r w:rsidR="00516463" w:rsidRPr="009A7668">
        <w:rPr>
          <w:rFonts w:asciiTheme="minorHAnsi" w:hAnsiTheme="minorHAnsi"/>
          <w:b w:val="0"/>
          <w:sz w:val="20"/>
          <w:szCs w:val="20"/>
        </w:rPr>
        <w:t>, cultural and geographic</w:t>
      </w:r>
      <w:r w:rsidR="00590131" w:rsidRPr="009A7668">
        <w:rPr>
          <w:rFonts w:asciiTheme="minorHAnsi" w:hAnsiTheme="minorHAnsi"/>
          <w:b w:val="0"/>
          <w:sz w:val="20"/>
          <w:szCs w:val="20"/>
        </w:rPr>
        <w:t xml:space="preserve"> polarization</w:t>
      </w:r>
      <w:r w:rsidR="00056B98" w:rsidRPr="009A7668">
        <w:rPr>
          <w:rFonts w:asciiTheme="minorHAnsi" w:hAnsiTheme="minorHAnsi"/>
          <w:b w:val="0"/>
          <w:sz w:val="20"/>
          <w:szCs w:val="20"/>
        </w:rPr>
        <w:t xml:space="preserve">.  In addition, </w:t>
      </w:r>
      <w:r w:rsidR="008C7E9E" w:rsidRPr="009A7668">
        <w:rPr>
          <w:rFonts w:asciiTheme="minorHAnsi" w:hAnsiTheme="minorHAnsi"/>
          <w:b w:val="0"/>
          <w:sz w:val="20"/>
          <w:szCs w:val="20"/>
        </w:rPr>
        <w:t xml:space="preserve">while </w:t>
      </w:r>
      <w:r w:rsidR="00056B98" w:rsidRPr="009A7668">
        <w:rPr>
          <w:rFonts w:asciiTheme="minorHAnsi" w:hAnsiTheme="minorHAnsi"/>
          <w:b w:val="0"/>
          <w:sz w:val="20"/>
          <w:szCs w:val="20"/>
        </w:rPr>
        <w:t xml:space="preserve">the research was concluded a year before the </w:t>
      </w:r>
      <w:r w:rsidR="00056B98" w:rsidRPr="009A7668">
        <w:rPr>
          <w:rFonts w:asciiTheme="minorHAnsi" w:hAnsiTheme="minorHAnsi"/>
          <w:b w:val="0"/>
          <w:i/>
          <w:sz w:val="20"/>
          <w:szCs w:val="20"/>
        </w:rPr>
        <w:t xml:space="preserve">Shelby </w:t>
      </w:r>
      <w:r w:rsidR="008C7E9E" w:rsidRPr="009A7668">
        <w:rPr>
          <w:rFonts w:asciiTheme="minorHAnsi" w:hAnsiTheme="minorHAnsi"/>
          <w:b w:val="0"/>
          <w:i/>
          <w:sz w:val="20"/>
          <w:szCs w:val="20"/>
        </w:rPr>
        <w:t xml:space="preserve">County v. Holder </w:t>
      </w:r>
      <w:r w:rsidR="00056B98" w:rsidRPr="009A7668">
        <w:rPr>
          <w:rFonts w:asciiTheme="minorHAnsi" w:hAnsiTheme="minorHAnsi"/>
          <w:b w:val="0"/>
          <w:sz w:val="20"/>
          <w:szCs w:val="20"/>
        </w:rPr>
        <w:t xml:space="preserve">decision, </w:t>
      </w:r>
      <w:r w:rsidR="008C7E9E" w:rsidRPr="009A7668">
        <w:rPr>
          <w:rFonts w:asciiTheme="minorHAnsi" w:hAnsiTheme="minorHAnsi"/>
          <w:b w:val="0"/>
          <w:sz w:val="20"/>
          <w:szCs w:val="20"/>
        </w:rPr>
        <w:t xml:space="preserve">we did know </w:t>
      </w:r>
      <w:r w:rsidR="00056B98" w:rsidRPr="009A7668">
        <w:rPr>
          <w:rFonts w:asciiTheme="minorHAnsi" w:hAnsiTheme="minorHAnsi"/>
          <w:b w:val="0"/>
          <w:sz w:val="20"/>
          <w:szCs w:val="20"/>
        </w:rPr>
        <w:t>that multiple cases challenging section 5 of the Voting Ri</w:t>
      </w:r>
      <w:r w:rsidR="006663FB" w:rsidRPr="009A7668">
        <w:rPr>
          <w:rFonts w:asciiTheme="minorHAnsi" w:hAnsiTheme="minorHAnsi"/>
          <w:b w:val="0"/>
          <w:sz w:val="20"/>
          <w:szCs w:val="20"/>
        </w:rPr>
        <w:t>ghts A</w:t>
      </w:r>
      <w:r w:rsidR="00547BB0" w:rsidRPr="009A7668">
        <w:rPr>
          <w:rFonts w:asciiTheme="minorHAnsi" w:hAnsiTheme="minorHAnsi"/>
          <w:b w:val="0"/>
          <w:sz w:val="20"/>
          <w:szCs w:val="20"/>
        </w:rPr>
        <w:t xml:space="preserve">ct were in the pipeline. </w:t>
      </w:r>
      <w:r w:rsidR="00056B98" w:rsidRPr="009A7668">
        <w:rPr>
          <w:rFonts w:asciiTheme="minorHAnsi" w:hAnsiTheme="minorHAnsi"/>
          <w:b w:val="0"/>
          <w:sz w:val="20"/>
          <w:szCs w:val="20"/>
        </w:rPr>
        <w:t>Given that fact</w:t>
      </w:r>
      <w:r w:rsidR="00705B99" w:rsidRPr="009A7668">
        <w:rPr>
          <w:rFonts w:asciiTheme="minorHAnsi" w:hAnsiTheme="minorHAnsi"/>
          <w:b w:val="0"/>
          <w:sz w:val="20"/>
          <w:szCs w:val="20"/>
        </w:rPr>
        <w:t xml:space="preserve"> – and that the suppressive laws were related to who held the Oval Office </w:t>
      </w:r>
      <w:r w:rsidR="006663FB" w:rsidRPr="009A7668">
        <w:rPr>
          <w:rFonts w:asciiTheme="minorHAnsi" w:hAnsiTheme="minorHAnsi"/>
          <w:b w:val="0"/>
          <w:sz w:val="20"/>
          <w:szCs w:val="20"/>
        </w:rPr>
        <w:t>–</w:t>
      </w:r>
      <w:r w:rsidR="00705B99" w:rsidRPr="009A7668">
        <w:rPr>
          <w:rFonts w:asciiTheme="minorHAnsi" w:hAnsiTheme="minorHAnsi"/>
          <w:b w:val="0"/>
          <w:sz w:val="20"/>
          <w:szCs w:val="20"/>
        </w:rPr>
        <w:t xml:space="preserve"> </w:t>
      </w:r>
      <w:r w:rsidR="00056B98" w:rsidRPr="009A7668">
        <w:rPr>
          <w:rFonts w:asciiTheme="minorHAnsi" w:hAnsiTheme="minorHAnsi"/>
          <w:b w:val="0"/>
          <w:sz w:val="20"/>
          <w:szCs w:val="20"/>
        </w:rPr>
        <w:t xml:space="preserve">we should have had the research </w:t>
      </w:r>
      <w:r w:rsidR="00C04AE6" w:rsidRPr="009A7668">
        <w:rPr>
          <w:rFonts w:asciiTheme="minorHAnsi" w:hAnsiTheme="minorHAnsi"/>
          <w:b w:val="0"/>
          <w:sz w:val="20"/>
          <w:szCs w:val="20"/>
        </w:rPr>
        <w:t xml:space="preserve">explicitly </w:t>
      </w:r>
      <w:r w:rsidR="006663FB" w:rsidRPr="009A7668">
        <w:rPr>
          <w:rFonts w:asciiTheme="minorHAnsi" w:hAnsiTheme="minorHAnsi"/>
          <w:b w:val="0"/>
          <w:sz w:val="20"/>
          <w:szCs w:val="20"/>
        </w:rPr>
        <w:t xml:space="preserve">focus on </w:t>
      </w:r>
      <w:r w:rsidR="00F475A1">
        <w:rPr>
          <w:rFonts w:asciiTheme="minorHAnsi" w:hAnsiTheme="minorHAnsi"/>
          <w:b w:val="0"/>
          <w:sz w:val="20"/>
          <w:szCs w:val="20"/>
        </w:rPr>
        <w:t>the racial dynamics at play in the support for greater voting restrictions</w:t>
      </w:r>
      <w:r w:rsidR="006663FB" w:rsidRPr="009A7668">
        <w:rPr>
          <w:rFonts w:asciiTheme="minorHAnsi" w:hAnsiTheme="minorHAnsi"/>
          <w:b w:val="0"/>
          <w:sz w:val="20"/>
          <w:szCs w:val="20"/>
        </w:rPr>
        <w:t>.</w:t>
      </w:r>
    </w:p>
    <w:p w:rsidR="009A7668" w:rsidRPr="009A7668" w:rsidRDefault="009A7668" w:rsidP="009A7668">
      <w:pPr>
        <w:pStyle w:val="Heading1"/>
        <w:shd w:val="clear" w:color="auto" w:fill="FFFFFF"/>
        <w:spacing w:before="0" w:beforeAutospacing="0" w:after="0" w:afterAutospacing="0" w:line="276" w:lineRule="atLeast"/>
        <w:textAlignment w:val="baseline"/>
        <w:rPr>
          <w:rFonts w:asciiTheme="minorHAnsi" w:hAnsiTheme="minorHAnsi"/>
          <w:sz w:val="20"/>
          <w:szCs w:val="20"/>
        </w:rPr>
      </w:pPr>
    </w:p>
    <w:p w:rsidR="0001049C" w:rsidRDefault="00145470" w:rsidP="002C4184">
      <w:pPr>
        <w:rPr>
          <w:sz w:val="20"/>
          <w:szCs w:val="20"/>
        </w:rPr>
      </w:pPr>
      <w:r w:rsidRPr="008974B7">
        <w:rPr>
          <w:sz w:val="20"/>
          <w:szCs w:val="20"/>
          <w:u w:val="single"/>
        </w:rPr>
        <w:t>S</w:t>
      </w:r>
      <w:r w:rsidR="00232969" w:rsidRPr="008974B7">
        <w:rPr>
          <w:sz w:val="20"/>
          <w:szCs w:val="20"/>
          <w:u w:val="single"/>
        </w:rPr>
        <w:t>taffing</w:t>
      </w:r>
      <w:r w:rsidR="00705B99" w:rsidRPr="009A7668">
        <w:rPr>
          <w:sz w:val="20"/>
          <w:szCs w:val="20"/>
        </w:rPr>
        <w:t>:</w:t>
      </w:r>
      <w:r w:rsidR="00FC536B" w:rsidRPr="009A7668">
        <w:rPr>
          <w:sz w:val="20"/>
          <w:szCs w:val="20"/>
        </w:rPr>
        <w:t xml:space="preserve"> </w:t>
      </w:r>
      <w:r w:rsidR="00F475A1">
        <w:rPr>
          <w:sz w:val="20"/>
          <w:szCs w:val="20"/>
        </w:rPr>
        <w:t xml:space="preserve">The ability to develop and implement a strong strategic plan for this work was hampered by the fact that the Fund did not have an elections or voting rights program officer until </w:t>
      </w:r>
      <w:proofErr w:type="gramStart"/>
      <w:r w:rsidR="00F475A1">
        <w:rPr>
          <w:sz w:val="20"/>
          <w:szCs w:val="20"/>
        </w:rPr>
        <w:t>Spring</w:t>
      </w:r>
      <w:proofErr w:type="gramEnd"/>
      <w:r w:rsidR="00F475A1">
        <w:rPr>
          <w:sz w:val="20"/>
          <w:szCs w:val="20"/>
        </w:rPr>
        <w:t xml:space="preserve"> 2014.</w:t>
      </w:r>
      <w:r w:rsidR="0075749E" w:rsidRPr="009A7668">
        <w:rPr>
          <w:sz w:val="20"/>
          <w:szCs w:val="20"/>
        </w:rPr>
        <w:t xml:space="preserve">  The portfolio was modest at its outset in 2008</w:t>
      </w:r>
      <w:r w:rsidR="00E06208" w:rsidRPr="009A7668">
        <w:rPr>
          <w:sz w:val="20"/>
          <w:szCs w:val="20"/>
        </w:rPr>
        <w:t xml:space="preserve">, </w:t>
      </w:r>
      <w:r w:rsidR="0075749E" w:rsidRPr="009A7668">
        <w:rPr>
          <w:sz w:val="20"/>
          <w:szCs w:val="20"/>
        </w:rPr>
        <w:t xml:space="preserve">focused </w:t>
      </w:r>
      <w:r w:rsidR="00705B99" w:rsidRPr="009A7668">
        <w:rPr>
          <w:sz w:val="20"/>
          <w:szCs w:val="20"/>
        </w:rPr>
        <w:t xml:space="preserve">as it was </w:t>
      </w:r>
      <w:r w:rsidR="00102747" w:rsidRPr="009A7668">
        <w:rPr>
          <w:sz w:val="20"/>
          <w:szCs w:val="20"/>
        </w:rPr>
        <w:t xml:space="preserve">solely </w:t>
      </w:r>
      <w:r w:rsidR="0075749E" w:rsidRPr="009A7668">
        <w:rPr>
          <w:sz w:val="20"/>
          <w:szCs w:val="20"/>
        </w:rPr>
        <w:t>on modernizing voter registration systems</w:t>
      </w:r>
      <w:r w:rsidR="00E06208" w:rsidRPr="009A7668">
        <w:rPr>
          <w:sz w:val="20"/>
          <w:szCs w:val="20"/>
        </w:rPr>
        <w:t xml:space="preserve">. </w:t>
      </w:r>
      <w:r w:rsidR="0075749E" w:rsidRPr="009A7668">
        <w:rPr>
          <w:sz w:val="20"/>
          <w:szCs w:val="20"/>
        </w:rPr>
        <w:t xml:space="preserve">But as the assault on voting rights picked up </w:t>
      </w:r>
      <w:r w:rsidR="008920EE" w:rsidRPr="009A7668">
        <w:rPr>
          <w:sz w:val="20"/>
          <w:szCs w:val="20"/>
        </w:rPr>
        <w:t>speed, the work began to grow</w:t>
      </w:r>
      <w:r w:rsidR="00F475A1">
        <w:rPr>
          <w:sz w:val="20"/>
          <w:szCs w:val="20"/>
        </w:rPr>
        <w:t>, and it took some time for our staffing to catch up.</w:t>
      </w:r>
    </w:p>
    <w:p w:rsidR="0001049C" w:rsidRPr="001E43FC" w:rsidRDefault="0001049C" w:rsidP="0001049C">
      <w:pPr>
        <w:rPr>
          <w:sz w:val="20"/>
          <w:szCs w:val="20"/>
        </w:rPr>
      </w:pPr>
      <w:r w:rsidRPr="001E43FC">
        <w:rPr>
          <w:b/>
          <w:sz w:val="20"/>
          <w:szCs w:val="20"/>
        </w:rPr>
        <w:t>INCIDENT TWO:</w:t>
      </w:r>
      <w:r w:rsidRPr="001E43FC">
        <w:rPr>
          <w:sz w:val="20"/>
          <w:szCs w:val="20"/>
        </w:rPr>
        <w:t xml:space="preserve">  </w:t>
      </w:r>
      <w:r w:rsidRPr="001E43FC">
        <w:rPr>
          <w:i/>
          <w:sz w:val="20"/>
          <w:szCs w:val="20"/>
          <w:u w:val="single"/>
        </w:rPr>
        <w:t>The June 2013 Supreme Court decision in Shelby County v. Holder</w:t>
      </w:r>
      <w:r w:rsidRPr="001E43FC">
        <w:rPr>
          <w:sz w:val="20"/>
          <w:szCs w:val="20"/>
        </w:rPr>
        <w:t xml:space="preserve"> </w:t>
      </w:r>
    </w:p>
    <w:p w:rsidR="0001049C" w:rsidRPr="001E43FC" w:rsidRDefault="0001049C" w:rsidP="0001049C">
      <w:pPr>
        <w:rPr>
          <w:sz w:val="20"/>
          <w:szCs w:val="20"/>
        </w:rPr>
      </w:pPr>
      <w:r w:rsidRPr="001E43FC">
        <w:rPr>
          <w:b/>
          <w:sz w:val="20"/>
          <w:szCs w:val="20"/>
        </w:rPr>
        <w:t>Pre-</w:t>
      </w:r>
      <w:r w:rsidRPr="001E43FC">
        <w:rPr>
          <w:b/>
          <w:i/>
          <w:sz w:val="20"/>
          <w:szCs w:val="20"/>
        </w:rPr>
        <w:t>Shelby</w:t>
      </w:r>
      <w:r w:rsidRPr="001E43FC">
        <w:rPr>
          <w:sz w:val="20"/>
          <w:szCs w:val="20"/>
        </w:rPr>
        <w:t xml:space="preserve">: </w:t>
      </w:r>
    </w:p>
    <w:p w:rsidR="0001049C" w:rsidRPr="001E43FC" w:rsidRDefault="0001049C" w:rsidP="0001049C">
      <w:pPr>
        <w:rPr>
          <w:sz w:val="20"/>
          <w:szCs w:val="20"/>
        </w:rPr>
      </w:pPr>
      <w:r w:rsidRPr="001E43FC">
        <w:rPr>
          <w:sz w:val="20"/>
          <w:szCs w:val="20"/>
        </w:rPr>
        <w:t xml:space="preserve">The United States Supreme Court announced on November 9, 2012, just three days after the 2012 election, that it was going to take up the Alabama case challenging the constitutionality of the "preclearance" provision (Section 5) of the Voting Rights Act.  As noted above, multiple cases challenging Section 5 had been in the pipeline, but the high court selected </w:t>
      </w:r>
      <w:r w:rsidRPr="001E43FC">
        <w:rPr>
          <w:i/>
          <w:sz w:val="20"/>
          <w:szCs w:val="20"/>
        </w:rPr>
        <w:t>Shelby County v. Holder</w:t>
      </w:r>
      <w:r w:rsidRPr="001E43FC">
        <w:rPr>
          <w:sz w:val="20"/>
          <w:szCs w:val="20"/>
        </w:rPr>
        <w:t xml:space="preserve"> for review. </w:t>
      </w:r>
    </w:p>
    <w:p w:rsidR="0001049C" w:rsidRPr="001E43FC" w:rsidRDefault="0001049C" w:rsidP="0001049C">
      <w:pPr>
        <w:rPr>
          <w:sz w:val="20"/>
          <w:szCs w:val="20"/>
        </w:rPr>
      </w:pPr>
      <w:r w:rsidRPr="001E43FC">
        <w:rPr>
          <w:sz w:val="20"/>
          <w:szCs w:val="20"/>
        </w:rPr>
        <w:t>In December 2012, OSF partnered with the Ford Foundation to convene litigating and advocacy groups to help them coordinate their efforts in response to the upcoming decision.</w:t>
      </w:r>
      <w:r w:rsidRPr="001E43FC">
        <w:rPr>
          <w:rStyle w:val="FootnoteReference"/>
          <w:sz w:val="20"/>
          <w:szCs w:val="20"/>
        </w:rPr>
        <w:footnoteReference w:id="29"/>
      </w:r>
      <w:r w:rsidRPr="001E43FC">
        <w:rPr>
          <w:sz w:val="20"/>
          <w:szCs w:val="20"/>
        </w:rPr>
        <w:t xml:space="preserve">  Because no one knew how the Supreme Court would rule, and what the actual effect on the </w:t>
      </w:r>
      <w:r w:rsidRPr="001E43FC">
        <w:rPr>
          <w:i/>
          <w:sz w:val="20"/>
          <w:szCs w:val="20"/>
        </w:rPr>
        <w:t>Shelby</w:t>
      </w:r>
      <w:r w:rsidRPr="001E43FC">
        <w:rPr>
          <w:sz w:val="20"/>
          <w:szCs w:val="20"/>
        </w:rPr>
        <w:t xml:space="preserve"> states</w:t>
      </w:r>
      <w:r w:rsidRPr="001E43FC">
        <w:rPr>
          <w:rStyle w:val="FootnoteReference"/>
          <w:sz w:val="20"/>
          <w:szCs w:val="20"/>
        </w:rPr>
        <w:footnoteReference w:id="30"/>
      </w:r>
      <w:r w:rsidRPr="001E43FC">
        <w:rPr>
          <w:sz w:val="20"/>
          <w:szCs w:val="20"/>
        </w:rPr>
        <w:t xml:space="preserve"> would be, advocates had to prepare for the worst - the invalidation of the Voting Rights Act.  It was necessary to try to develop and control the narrative for a variety of possible scenarios.  Staff therefore requested, and in February 2013, the U.S. Programs Board approved, an Opportunities Fund request to support a pre-decision strategic public advocacy campaign, and for field support to develop an advocacy strategy</w:t>
      </w:r>
      <w:r w:rsidRPr="001E43FC">
        <w:rPr>
          <w:rStyle w:val="FootnoteReference"/>
          <w:sz w:val="20"/>
          <w:szCs w:val="20"/>
        </w:rPr>
        <w:footnoteReference w:id="31"/>
      </w:r>
      <w:r w:rsidRPr="001E43FC">
        <w:rPr>
          <w:sz w:val="20"/>
          <w:szCs w:val="20"/>
        </w:rPr>
        <w:t xml:space="preserve"> following the decision.  </w:t>
      </w:r>
    </w:p>
    <w:p w:rsidR="0001049C" w:rsidRPr="001E43FC" w:rsidRDefault="0001049C" w:rsidP="0001049C">
      <w:pPr>
        <w:rPr>
          <w:sz w:val="20"/>
          <w:szCs w:val="20"/>
        </w:rPr>
      </w:pPr>
      <w:r w:rsidRPr="001E43FC">
        <w:rPr>
          <w:sz w:val="20"/>
          <w:szCs w:val="20"/>
        </w:rPr>
        <w:t>When the Court decided the case in June 2013, litigating groups and other advocates were already battling mass restrictions on voting rights, and trying to advance proactive measures.  The decision</w:t>
      </w:r>
      <w:r w:rsidRPr="001E43FC">
        <w:rPr>
          <w:rStyle w:val="FootnoteReference"/>
          <w:sz w:val="20"/>
          <w:szCs w:val="20"/>
        </w:rPr>
        <w:footnoteReference w:id="32"/>
      </w:r>
      <w:r w:rsidRPr="001E43FC">
        <w:rPr>
          <w:sz w:val="20"/>
          <w:szCs w:val="20"/>
        </w:rPr>
        <w:t xml:space="preserve"> added a layer of complexity for those working in the 15 jurisdictions formerly covered by Section 5 of the Voting Rights Act.  </w:t>
      </w:r>
      <w:r w:rsidRPr="001E43FC">
        <w:rPr>
          <w:i/>
          <w:sz w:val="20"/>
          <w:szCs w:val="20"/>
        </w:rPr>
        <w:t>Shelby</w:t>
      </w:r>
      <w:r w:rsidRPr="001E43FC">
        <w:rPr>
          <w:sz w:val="20"/>
          <w:szCs w:val="20"/>
        </w:rPr>
        <w:t xml:space="preserve"> gutted Section 5 and took away the Department of Justice and a three-judge federal court panel’s ability to review voting changes made by jurisdictions in 15 states that had a history of discriminatory election-related practices.  Many in the field believe that the decision would have been worse had it not been for the pre-argument and decision advocacy.  Rather than hold Section 5 itself unconstitutional, the Court struck down the formula determining which states would be covered, leaving open the possibility that Congress could enact a new formula to restore the vitality of Section 5.  OSF grants helped cushion the decision’s blow and prepared the field to work to reverse its effects.</w:t>
      </w:r>
    </w:p>
    <w:p w:rsidR="0001049C" w:rsidRPr="001E43FC" w:rsidRDefault="0001049C" w:rsidP="0001049C">
      <w:pPr>
        <w:rPr>
          <w:sz w:val="20"/>
          <w:szCs w:val="20"/>
        </w:rPr>
      </w:pPr>
      <w:r w:rsidRPr="001E43FC">
        <w:rPr>
          <w:sz w:val="20"/>
          <w:szCs w:val="20"/>
        </w:rPr>
        <w:t xml:space="preserve">While OSF did convene the groups swiftly to prepare for whatever decision was to come, the </w:t>
      </w:r>
      <w:r w:rsidRPr="001E43FC">
        <w:rPr>
          <w:i/>
          <w:sz w:val="20"/>
          <w:szCs w:val="20"/>
        </w:rPr>
        <w:t>Shelby</w:t>
      </w:r>
      <w:r w:rsidRPr="001E43FC">
        <w:rPr>
          <w:sz w:val="20"/>
          <w:szCs w:val="20"/>
        </w:rPr>
        <w:t xml:space="preserve">-related messaging that was developed did not stop every state legislature from continuing to introduce and pass voter suppression measures.  Nor did this message expressing the need to uphold the Voting Rights Act decrease the popularity of voter ID measures.  Americans continued to be concerned with “election integrity” and have internalized messages about fraud.  </w:t>
      </w:r>
    </w:p>
    <w:p w:rsidR="0001049C" w:rsidRPr="001E43FC" w:rsidRDefault="0001049C" w:rsidP="0001049C">
      <w:pPr>
        <w:rPr>
          <w:sz w:val="20"/>
          <w:szCs w:val="20"/>
        </w:rPr>
      </w:pPr>
      <w:r w:rsidRPr="001E43FC">
        <w:rPr>
          <w:b/>
          <w:sz w:val="20"/>
          <w:szCs w:val="20"/>
        </w:rPr>
        <w:t xml:space="preserve">The </w:t>
      </w:r>
      <w:r w:rsidRPr="001E43FC">
        <w:rPr>
          <w:b/>
          <w:i/>
          <w:sz w:val="20"/>
          <w:szCs w:val="20"/>
        </w:rPr>
        <w:t>Shelby</w:t>
      </w:r>
      <w:r w:rsidRPr="001E43FC">
        <w:rPr>
          <w:b/>
          <w:sz w:val="20"/>
          <w:szCs w:val="20"/>
        </w:rPr>
        <w:t xml:space="preserve"> Decision</w:t>
      </w:r>
      <w:r w:rsidRPr="001E43FC">
        <w:rPr>
          <w:sz w:val="20"/>
          <w:szCs w:val="20"/>
        </w:rPr>
        <w:t xml:space="preserve">: </w:t>
      </w:r>
    </w:p>
    <w:p w:rsidR="0001049C" w:rsidRPr="001E43FC" w:rsidRDefault="0001049C" w:rsidP="0001049C">
      <w:pPr>
        <w:rPr>
          <w:sz w:val="20"/>
          <w:szCs w:val="20"/>
        </w:rPr>
      </w:pPr>
      <w:r w:rsidRPr="001E43FC">
        <w:rPr>
          <w:sz w:val="20"/>
          <w:szCs w:val="20"/>
        </w:rPr>
        <w:t xml:space="preserve">Within hours of the </w:t>
      </w:r>
      <w:r w:rsidRPr="001E43FC">
        <w:rPr>
          <w:i/>
          <w:sz w:val="20"/>
          <w:szCs w:val="20"/>
        </w:rPr>
        <w:t>Shelby</w:t>
      </w:r>
      <w:r w:rsidRPr="001E43FC">
        <w:rPr>
          <w:sz w:val="20"/>
          <w:szCs w:val="20"/>
        </w:rPr>
        <w:t xml:space="preserve"> decision, states moved to revive and implement discriminatory voting restrictions that had been previously blocked by the Department of Justice.  Texas and North Carolina were among the first states to move to reinstate discriminatory voter identification requirements, and North Carolina and others acted to reduce early voting and eliminate same-day voter registration.  </w:t>
      </w:r>
    </w:p>
    <w:p w:rsidR="0001049C" w:rsidRPr="001E43FC" w:rsidRDefault="0001049C" w:rsidP="0001049C">
      <w:pPr>
        <w:rPr>
          <w:sz w:val="20"/>
          <w:szCs w:val="20"/>
        </w:rPr>
      </w:pPr>
      <w:r w:rsidRPr="001E43FC">
        <w:rPr>
          <w:sz w:val="20"/>
          <w:szCs w:val="20"/>
        </w:rPr>
        <w:t>In the immediate wake of the Shelby decision, OSF, working with our partners at Ford and the Carnegie Corporation, reconvened the legal and advocacy groups and other funders to strategize and, as a consequence, founded the Shelby Response Fund (SRF), a donor collaborative housed at NEO Philanthropy (formerly known as Public Interest Projects)</w:t>
      </w:r>
      <w:r w:rsidRPr="001E43FC">
        <w:rPr>
          <w:rStyle w:val="FootnoteReference"/>
          <w:sz w:val="20"/>
          <w:szCs w:val="20"/>
        </w:rPr>
        <w:footnoteReference w:id="33"/>
      </w:r>
      <w:r w:rsidRPr="001E43FC">
        <w:rPr>
          <w:sz w:val="20"/>
          <w:szCs w:val="20"/>
        </w:rPr>
        <w:t xml:space="preserve"> to provide state and national advocates funds to enhance their work against discriminatory voting measures and enable the development and implementation of a coordinated post-</w:t>
      </w:r>
      <w:r w:rsidRPr="001E43FC">
        <w:rPr>
          <w:i/>
          <w:sz w:val="20"/>
          <w:szCs w:val="20"/>
        </w:rPr>
        <w:t>Shelby</w:t>
      </w:r>
      <w:r w:rsidRPr="001E43FC">
        <w:rPr>
          <w:sz w:val="20"/>
          <w:szCs w:val="20"/>
        </w:rPr>
        <w:t xml:space="preserve"> strategy.  </w:t>
      </w:r>
    </w:p>
    <w:p w:rsidR="0001049C" w:rsidRPr="001E43FC" w:rsidRDefault="0001049C" w:rsidP="0001049C">
      <w:pPr>
        <w:rPr>
          <w:sz w:val="20"/>
          <w:szCs w:val="20"/>
        </w:rPr>
      </w:pPr>
      <w:r w:rsidRPr="001E43FC">
        <w:rPr>
          <w:sz w:val="20"/>
          <w:szCs w:val="20"/>
        </w:rPr>
        <w:t xml:space="preserve">The Shelby Response Fund was created to resource a field that, working on behalf of racial and language </w:t>
      </w:r>
      <w:proofErr w:type="gramStart"/>
      <w:r w:rsidRPr="001E43FC">
        <w:rPr>
          <w:sz w:val="20"/>
          <w:szCs w:val="20"/>
        </w:rPr>
        <w:t>minorities,</w:t>
      </w:r>
      <w:proofErr w:type="gramEnd"/>
      <w:r w:rsidRPr="001E43FC">
        <w:rPr>
          <w:sz w:val="20"/>
          <w:szCs w:val="20"/>
        </w:rPr>
        <w:t xml:space="preserve"> now needed to fill the government’s shoes as monitor, investigator, data collector and enforcer.  SRF, after assessing the field, developed a three-part approach for the funding of litigation,</w:t>
      </w:r>
      <w:r w:rsidRPr="001E43FC">
        <w:rPr>
          <w:rStyle w:val="FootnoteReference"/>
          <w:sz w:val="20"/>
          <w:szCs w:val="20"/>
        </w:rPr>
        <w:footnoteReference w:id="34"/>
      </w:r>
      <w:r w:rsidRPr="001E43FC">
        <w:rPr>
          <w:sz w:val="20"/>
          <w:szCs w:val="20"/>
        </w:rPr>
        <w:t xml:space="preserve"> advocacy and state/local mobilization, and research and communications—a rather ambitious agenda.  OSF’s investment included c3, as well as c4 grants to support the Leadership Conference-led coalition working to develop policy and move a Voting Rights Amendment Act that would protect voters from discrimination in the wake of </w:t>
      </w:r>
      <w:r w:rsidRPr="001E43FC">
        <w:rPr>
          <w:i/>
          <w:sz w:val="20"/>
          <w:szCs w:val="20"/>
        </w:rPr>
        <w:t>Shelby</w:t>
      </w:r>
      <w:r w:rsidRPr="001E43FC">
        <w:rPr>
          <w:sz w:val="20"/>
          <w:szCs w:val="20"/>
        </w:rPr>
        <w:t xml:space="preserve">.  The field had hopes that Congress would act quickly to repair the damage done by Shelby and get the government to once again fully enforce voting rights laws. So while the state-based groups worked, with funding through SRF, to coordinate their efforts and fill identified gaps while avoiding duplication, the Leadership Conference-led coalition worked on policy development and message framing to help shepherd the bipartisan Congressional fix into law.  </w:t>
      </w:r>
    </w:p>
    <w:p w:rsidR="0001049C" w:rsidRPr="001E43FC" w:rsidRDefault="0001049C" w:rsidP="0001049C">
      <w:pPr>
        <w:rPr>
          <w:sz w:val="20"/>
          <w:szCs w:val="20"/>
        </w:rPr>
      </w:pPr>
      <w:r w:rsidRPr="001E43FC">
        <w:rPr>
          <w:sz w:val="20"/>
          <w:szCs w:val="20"/>
        </w:rPr>
        <w:t>Since SRF’s establishment, funders have donated directly to SRF for a total of over $4.5 million.</w:t>
      </w:r>
      <w:r w:rsidRPr="001E43FC">
        <w:rPr>
          <w:rStyle w:val="FootnoteReference"/>
          <w:sz w:val="20"/>
          <w:szCs w:val="20"/>
        </w:rPr>
        <w:footnoteReference w:id="35"/>
      </w:r>
      <w:r w:rsidRPr="001E43FC">
        <w:rPr>
          <w:sz w:val="20"/>
          <w:szCs w:val="20"/>
        </w:rPr>
        <w:t xml:space="preserve">  “Unusual suspects” who have joined SRF include the Coulter Foundation (health care and science), JPB Foundation (poverty, medicine, </w:t>
      </w:r>
      <w:proofErr w:type="gramStart"/>
      <w:r w:rsidRPr="001E43FC">
        <w:rPr>
          <w:sz w:val="20"/>
          <w:szCs w:val="20"/>
        </w:rPr>
        <w:t>environment</w:t>
      </w:r>
      <w:proofErr w:type="gramEnd"/>
      <w:r w:rsidRPr="001E43FC">
        <w:rPr>
          <w:sz w:val="20"/>
          <w:szCs w:val="20"/>
        </w:rPr>
        <w:t xml:space="preserve">) and Mertz Gilmore Foundation (culture and climate change).  Carnegie and MacArthur generally do not fund litigation but through SRF and aligned funding they do.  Smaller foundations like Mertz Gilmore and JPB invested due to the efficiency by which the collaborative fund could get the work done—they wanted to do something after </w:t>
      </w:r>
      <w:r w:rsidRPr="001E43FC">
        <w:rPr>
          <w:i/>
          <w:sz w:val="20"/>
          <w:szCs w:val="20"/>
        </w:rPr>
        <w:t>Shelby</w:t>
      </w:r>
      <w:r w:rsidRPr="001E43FC">
        <w:rPr>
          <w:sz w:val="20"/>
          <w:szCs w:val="20"/>
        </w:rPr>
        <w:t xml:space="preserve"> but did not have the staffing to pull off individual strategies. The collaborative was attractive to OSF too given our still limited staffing to do this urgent and labor intensive work. In any case, the donor foundations derived great benefits from the collaborative effort from lower administrative fees, increased leverage of OSF’s investment, expert counsel and management from Karen </w:t>
      </w:r>
      <w:proofErr w:type="spellStart"/>
      <w:r w:rsidRPr="001E43FC">
        <w:rPr>
          <w:sz w:val="20"/>
          <w:szCs w:val="20"/>
        </w:rPr>
        <w:t>Narasaki</w:t>
      </w:r>
      <w:proofErr w:type="spellEnd"/>
      <w:r w:rsidRPr="001E43FC">
        <w:rPr>
          <w:sz w:val="20"/>
          <w:szCs w:val="20"/>
        </w:rPr>
        <w:t xml:space="preserve"> and less duplication of field efforts.  </w:t>
      </w:r>
    </w:p>
    <w:p w:rsidR="0001049C" w:rsidRPr="001E43FC" w:rsidRDefault="0001049C" w:rsidP="0001049C">
      <w:pPr>
        <w:rPr>
          <w:sz w:val="20"/>
          <w:szCs w:val="20"/>
        </w:rPr>
      </w:pPr>
      <w:r w:rsidRPr="001E43FC">
        <w:rPr>
          <w:sz w:val="20"/>
          <w:szCs w:val="20"/>
        </w:rPr>
        <w:t xml:space="preserve">The important early task of the fund was getting the litigation collaborative off the ground.  As </w:t>
      </w:r>
      <w:proofErr w:type="spellStart"/>
      <w:r w:rsidRPr="001E43FC">
        <w:rPr>
          <w:sz w:val="20"/>
          <w:szCs w:val="20"/>
        </w:rPr>
        <w:t>Narasaki</w:t>
      </w:r>
      <w:proofErr w:type="spellEnd"/>
      <w:r w:rsidRPr="001E43FC">
        <w:rPr>
          <w:sz w:val="20"/>
          <w:szCs w:val="20"/>
        </w:rPr>
        <w:t xml:space="preserve"> can attest, getting the litigating groups to come to agreement on a joint proposal was no small task given the history of jockeying for position, egos and inability to freely share information or share control.  To date, the litigators struggle to meet in a timely and productive fashion, not all committee members comply with “principals and decision-makers need to be present” meeting rules, co-chair Sherrilyn Ifill has found it difficult to attend meetings, and MALDEF and the Lawyers Committee continue to have conflict as they have for some time.  Some of the challenge, to be fair, has been an incredibly active litigation calendar with trials in complex cases and emergency appeals to the Supreme Court.  On the whole, trying to get these groups to truly collaborate on litigation strategy failed.</w:t>
      </w:r>
    </w:p>
    <w:p w:rsidR="006C56B1" w:rsidRDefault="006C56B1" w:rsidP="0001049C">
      <w:pPr>
        <w:tabs>
          <w:tab w:val="left" w:pos="7490"/>
        </w:tabs>
        <w:rPr>
          <w:b/>
          <w:sz w:val="20"/>
          <w:szCs w:val="20"/>
        </w:rPr>
      </w:pPr>
    </w:p>
    <w:p w:rsidR="006C56B1" w:rsidRDefault="006C56B1" w:rsidP="0001049C">
      <w:pPr>
        <w:tabs>
          <w:tab w:val="left" w:pos="7490"/>
        </w:tabs>
        <w:rPr>
          <w:b/>
          <w:sz w:val="20"/>
          <w:szCs w:val="20"/>
        </w:rPr>
      </w:pPr>
    </w:p>
    <w:p w:rsidR="0001049C" w:rsidRPr="001E43FC" w:rsidRDefault="0001049C" w:rsidP="0001049C">
      <w:pPr>
        <w:tabs>
          <w:tab w:val="left" w:pos="7490"/>
        </w:tabs>
        <w:rPr>
          <w:sz w:val="20"/>
          <w:szCs w:val="20"/>
        </w:rPr>
      </w:pPr>
      <w:r w:rsidRPr="001E43FC">
        <w:rPr>
          <w:b/>
          <w:sz w:val="20"/>
          <w:szCs w:val="20"/>
        </w:rPr>
        <w:t>Post-</w:t>
      </w:r>
      <w:r w:rsidRPr="001E43FC">
        <w:rPr>
          <w:b/>
          <w:i/>
          <w:sz w:val="20"/>
          <w:szCs w:val="20"/>
        </w:rPr>
        <w:t>Shelby</w:t>
      </w:r>
      <w:r w:rsidRPr="001E43FC">
        <w:rPr>
          <w:sz w:val="20"/>
          <w:szCs w:val="20"/>
        </w:rPr>
        <w:t>:</w:t>
      </w:r>
      <w:r w:rsidRPr="001E43FC">
        <w:rPr>
          <w:sz w:val="20"/>
          <w:szCs w:val="20"/>
        </w:rPr>
        <w:tab/>
      </w:r>
    </w:p>
    <w:p w:rsidR="0001049C" w:rsidRPr="001E43FC" w:rsidRDefault="0001049C" w:rsidP="0001049C">
      <w:pPr>
        <w:rPr>
          <w:sz w:val="20"/>
          <w:szCs w:val="20"/>
        </w:rPr>
      </w:pPr>
      <w:r w:rsidRPr="001E43FC">
        <w:rPr>
          <w:sz w:val="20"/>
          <w:szCs w:val="20"/>
          <w:u w:val="single"/>
        </w:rPr>
        <w:t>Overall:</w:t>
      </w:r>
      <w:r w:rsidRPr="001E43FC">
        <w:rPr>
          <w:sz w:val="20"/>
          <w:szCs w:val="20"/>
        </w:rPr>
        <w:t xml:space="preserve">  SRF’s coordinated response has met with some success but has not fully achieved the level of coordination, cooperation and results that it set out to accomplish.</w:t>
      </w:r>
      <w:r w:rsidRPr="001E43FC">
        <w:rPr>
          <w:rStyle w:val="FootnoteReference"/>
          <w:sz w:val="20"/>
          <w:szCs w:val="20"/>
        </w:rPr>
        <w:footnoteReference w:id="36"/>
      </w:r>
      <w:r w:rsidRPr="001E43FC">
        <w:rPr>
          <w:sz w:val="20"/>
          <w:szCs w:val="20"/>
        </w:rPr>
        <w:t xml:space="preserve">  The funding model did bring funders to the table that might not have otherwise made grants to the voting rights field.  Local and state coalitions in states like North Carolina, Georgia and Florida experienced coordination that was palpable and appreciated by advocates, officials and voters alike.  And litigators won several legal challenges that dismantled barriers to voting.  As founding members of SRF, we can take pride in these and other accomplishments.  However, we are mindful of the continued competition (and related duplication) among the litigating groups, the inability of the groups to fully coordinate data collection methods and materials development, the lack of a long-term communications campaign that took hold with the state-based groups, and the lack of state and local capacity to conduct communications initiatives.</w:t>
      </w:r>
    </w:p>
    <w:p w:rsidR="0001049C" w:rsidRPr="001E43FC" w:rsidRDefault="0001049C" w:rsidP="0001049C">
      <w:pPr>
        <w:rPr>
          <w:sz w:val="20"/>
          <w:szCs w:val="20"/>
        </w:rPr>
      </w:pPr>
      <w:r w:rsidRPr="001E43FC">
        <w:rPr>
          <w:sz w:val="20"/>
          <w:szCs w:val="20"/>
          <w:u w:val="single"/>
        </w:rPr>
        <w:t>Donor Collaborative Model</w:t>
      </w:r>
      <w:r w:rsidRPr="001E43FC">
        <w:rPr>
          <w:sz w:val="20"/>
          <w:szCs w:val="20"/>
        </w:rPr>
        <w:t>:  The collaborative enabled funders to give grants to state and local organizations across the South, Southwest, and in Alaska and South Dakota.  Without such a mechanism, it would have been difficult to expeditiously identify and resource many of the organizations which ended up being funded.</w:t>
      </w:r>
      <w:r w:rsidRPr="001E43FC">
        <w:rPr>
          <w:rStyle w:val="FootnoteReference"/>
          <w:sz w:val="20"/>
          <w:szCs w:val="20"/>
        </w:rPr>
        <w:footnoteReference w:id="37"/>
      </w:r>
      <w:r w:rsidRPr="001E43FC">
        <w:rPr>
          <w:sz w:val="20"/>
          <w:szCs w:val="20"/>
        </w:rPr>
        <w:t xml:space="preserve">  While some might argue that this collaborative model was a “lazy” way out (giving SRF’s staff the power to determine where OSF’s money went), that was not the case.  With respect to the Shelby Response Fund, OSF and the other SRF donors serve on the steering committee to provide input into the </w:t>
      </w:r>
      <w:proofErr w:type="spellStart"/>
      <w:r w:rsidRPr="001E43FC">
        <w:rPr>
          <w:sz w:val="20"/>
          <w:szCs w:val="20"/>
        </w:rPr>
        <w:t>grantmaking</w:t>
      </w:r>
      <w:proofErr w:type="spellEnd"/>
      <w:r w:rsidRPr="001E43FC">
        <w:rPr>
          <w:sz w:val="20"/>
          <w:szCs w:val="20"/>
        </w:rPr>
        <w:t xml:space="preserve"> and to serve as strategy partners with SRF manager </w:t>
      </w:r>
      <w:proofErr w:type="spellStart"/>
      <w:r w:rsidRPr="001E43FC">
        <w:rPr>
          <w:sz w:val="20"/>
          <w:szCs w:val="20"/>
        </w:rPr>
        <w:t>Narasaki</w:t>
      </w:r>
      <w:proofErr w:type="spellEnd"/>
      <w:r w:rsidRPr="001E43FC">
        <w:rPr>
          <w:sz w:val="20"/>
          <w:szCs w:val="20"/>
        </w:rPr>
        <w:t xml:space="preserve">.  OSF also made additional, aligned grants, but was able to do it knowing what elements of the strategy others were funding and where the gaps in the field </w:t>
      </w:r>
      <w:r>
        <w:rPr>
          <w:sz w:val="20"/>
          <w:szCs w:val="20"/>
        </w:rPr>
        <w:t>were</w:t>
      </w:r>
      <w:r w:rsidRPr="001E43FC">
        <w:rPr>
          <w:sz w:val="20"/>
          <w:szCs w:val="20"/>
        </w:rPr>
        <w:t>. The creation of a collaborative in this case has had a bigger upside than down.</w:t>
      </w:r>
    </w:p>
    <w:p w:rsidR="0001049C" w:rsidRPr="001E43FC" w:rsidRDefault="0001049C" w:rsidP="0001049C">
      <w:pPr>
        <w:rPr>
          <w:sz w:val="20"/>
          <w:szCs w:val="20"/>
        </w:rPr>
      </w:pPr>
      <w:r w:rsidRPr="001E43FC">
        <w:rPr>
          <w:sz w:val="20"/>
          <w:szCs w:val="20"/>
        </w:rPr>
        <w:t xml:space="preserve">SRF also plays an important role in facilitating communications of best practices, materials, message framing, social media initiatives, research and issues across states and between litigators, researchers, communications groups and organizers.  Because SRF was funding several strategies and across a wide geography, it was in a position to help the work of grantees get maximum exposure and engagement.  It was also able to put together grantees working on similar issues.  The social media campaign led by SRF grantee Rock the Vote was improved because of the collaboration with </w:t>
      </w:r>
      <w:proofErr w:type="spellStart"/>
      <w:r w:rsidRPr="001E43FC">
        <w:rPr>
          <w:sz w:val="20"/>
          <w:szCs w:val="20"/>
        </w:rPr>
        <w:t>Voto</w:t>
      </w:r>
      <w:proofErr w:type="spellEnd"/>
      <w:r w:rsidRPr="001E43FC">
        <w:rPr>
          <w:sz w:val="20"/>
          <w:szCs w:val="20"/>
        </w:rPr>
        <w:t xml:space="preserve"> Latino, Color of Change and 18 million and rising. Duplication was reduced and groups were able to put out higher quality videos and materials that could be tailored to minority groups through the sharing of resources and efforts to jointly plan the campaigns.  </w:t>
      </w:r>
      <w:r>
        <w:rPr>
          <w:sz w:val="20"/>
          <w:szCs w:val="20"/>
        </w:rPr>
        <w:t>SRF</w:t>
      </w:r>
      <w:r w:rsidRPr="001E43FC">
        <w:rPr>
          <w:sz w:val="20"/>
          <w:szCs w:val="20"/>
        </w:rPr>
        <w:t xml:space="preserve"> was then able to connect the campaign to local groups in the states who could promote it rather than having to produce their own.</w:t>
      </w:r>
    </w:p>
    <w:p w:rsidR="0001049C" w:rsidRPr="001E43FC" w:rsidRDefault="0001049C" w:rsidP="0001049C">
      <w:pPr>
        <w:rPr>
          <w:sz w:val="20"/>
          <w:szCs w:val="20"/>
        </w:rPr>
      </w:pPr>
      <w:r w:rsidRPr="001E43FC">
        <w:rPr>
          <w:sz w:val="20"/>
          <w:szCs w:val="20"/>
        </w:rPr>
        <w:t xml:space="preserve">As noted in our SRF eligibility assessment, there was, however, unexpected competition for resources between the Shelby Response Fund and its parent, collaborative fund SIF.  The idea was for a standalone fund with “Shelby” in its name to raise the profile of the fund, make clear what it was for, and allow certain donors who did not want to invest in SIF’s voter engagement more broadly to donate only to SRF.  There, baked in at its creation, was the basis for competition for funds.  And, as we noted in our write up, SRF’s manager was sensitive to these issues and has since worked to address these concerns by engaging in conversations about better integrating and sustaining the work. </w:t>
      </w:r>
    </w:p>
    <w:p w:rsidR="0001049C" w:rsidRPr="001E43FC" w:rsidRDefault="0001049C" w:rsidP="0001049C">
      <w:pPr>
        <w:rPr>
          <w:sz w:val="20"/>
          <w:szCs w:val="20"/>
        </w:rPr>
      </w:pPr>
      <w:r w:rsidRPr="001E43FC">
        <w:rPr>
          <w:sz w:val="20"/>
          <w:szCs w:val="20"/>
        </w:rPr>
        <w:t xml:space="preserve">To that end, both SIF and SRF managers have expressed a desire to merge SIF and SRF fully and formally. We think this is a good idea for several reasons.  It should eliminate confusion among funders and the field, who have wondered why voting rights issues in part or all of 15 states should be housed in a separate collaborative than civic engagement, and election reform work—especially with state and local organizations attempting to coordinate their civic engagement, voting, and election protection and reform efforts.  The managers talked both about how they would do this – the need to clearly explain the union; and the need to bring Shelby Fund donors into the joint entity (while not losing them).  The combined fund will integrate cycles of engagement – from census to voting –for historically marginalized and so-called members of the new American majority.  </w:t>
      </w:r>
    </w:p>
    <w:p w:rsidR="0001049C" w:rsidRPr="001E43FC" w:rsidRDefault="0001049C" w:rsidP="0001049C">
      <w:pPr>
        <w:rPr>
          <w:sz w:val="20"/>
          <w:szCs w:val="20"/>
        </w:rPr>
      </w:pPr>
      <w:r w:rsidRPr="001E43FC">
        <w:rPr>
          <w:sz w:val="20"/>
          <w:szCs w:val="20"/>
          <w:u w:val="single"/>
        </w:rPr>
        <w:t>Litigation</w:t>
      </w:r>
      <w:r w:rsidRPr="001E43FC">
        <w:rPr>
          <w:sz w:val="20"/>
          <w:szCs w:val="20"/>
        </w:rPr>
        <w:t>:  There has been much work</w:t>
      </w:r>
      <w:r w:rsidRPr="001E43FC">
        <w:rPr>
          <w:rStyle w:val="FootnoteReference"/>
          <w:sz w:val="20"/>
          <w:szCs w:val="20"/>
        </w:rPr>
        <w:footnoteReference w:id="38"/>
      </w:r>
      <w:r w:rsidRPr="001E43FC">
        <w:rPr>
          <w:sz w:val="20"/>
          <w:szCs w:val="20"/>
        </w:rPr>
        <w:t xml:space="preserve"> and success in the area of litigation, but also shortcomings.  The ACLU, LDF, MALDEF and Lawyers Committee have all managed to defeat state voter suppression efforts in federal court at some level in states including Alaska, Texas, and Wisconsin.</w:t>
      </w:r>
      <w:r w:rsidRPr="001E43FC">
        <w:rPr>
          <w:rStyle w:val="FootnoteReference"/>
          <w:sz w:val="20"/>
          <w:szCs w:val="20"/>
        </w:rPr>
        <w:footnoteReference w:id="39"/>
      </w:r>
      <w:r w:rsidRPr="001E43FC">
        <w:rPr>
          <w:sz w:val="20"/>
          <w:szCs w:val="20"/>
        </w:rPr>
        <w:t xml:space="preserve">  They also worked with local groups to stop further restrictive state legislation and minimize the closing of polling sites in minority communities.  At the same time, the litigation team has difficulty holding meetings, has lacked the leadership required and has failed to produce some of the tangible results with which they were charged.  There has been an inability to establish a formal brief bank and expert witness database.  The collaboration has led to a sharing and vetting of data collection methods, but no agreement as to which method to promote.  MALDEF’s President Tom Saenz, co-chair of the litigation committee, attempted to calendar, </w:t>
      </w:r>
      <w:proofErr w:type="spellStart"/>
      <w:r w:rsidRPr="001E43FC">
        <w:rPr>
          <w:sz w:val="20"/>
          <w:szCs w:val="20"/>
        </w:rPr>
        <w:t>agendize</w:t>
      </w:r>
      <w:proofErr w:type="spellEnd"/>
      <w:r w:rsidRPr="001E43FC">
        <w:rPr>
          <w:sz w:val="20"/>
          <w:szCs w:val="20"/>
        </w:rPr>
        <w:t xml:space="preserve"> and chair the meetings on his own.  </w:t>
      </w:r>
      <w:proofErr w:type="spellStart"/>
      <w:r w:rsidRPr="001E43FC">
        <w:rPr>
          <w:sz w:val="20"/>
          <w:szCs w:val="20"/>
        </w:rPr>
        <w:t>Narasaki</w:t>
      </w:r>
      <w:proofErr w:type="spellEnd"/>
      <w:r w:rsidRPr="001E43FC">
        <w:rPr>
          <w:sz w:val="20"/>
          <w:szCs w:val="20"/>
        </w:rPr>
        <w:t xml:space="preserve"> has had to step in at times to help move the committee’s business along with some progress, demonstrating the need for administrative assistance for the grantees’ coordinated efforts—or, perhaps, at least in the area of litigation.  </w:t>
      </w:r>
    </w:p>
    <w:p w:rsidR="0001049C" w:rsidRPr="001E43FC" w:rsidRDefault="0001049C" w:rsidP="0001049C">
      <w:pPr>
        <w:rPr>
          <w:sz w:val="20"/>
          <w:szCs w:val="20"/>
        </w:rPr>
      </w:pPr>
      <w:r w:rsidRPr="001E43FC">
        <w:rPr>
          <w:sz w:val="20"/>
          <w:szCs w:val="20"/>
          <w:u w:val="single"/>
        </w:rPr>
        <w:t>State Mobilization and Advocacy</w:t>
      </w:r>
      <w:r w:rsidRPr="001E43FC">
        <w:rPr>
          <w:sz w:val="20"/>
          <w:szCs w:val="20"/>
        </w:rPr>
        <w:t>:  State and local advocates have benefitted from funding which enabled them to better communicate with each other and to foster relationships with litigating groups.  The field has been monitoring the activities of their state and local election officials and has felt a greater sense of empowerment to speak up when detecting discriminatory voting changes.  However, the field has yet to develop a standard data collection tool leading groups to develop their own, thereby creating duplication SRF sought to avoid.  At an advocates meeting held at OSPC in advance of the 2014 midterm elections, many organizations were surprised to hear of data collection instruments, Apps, hotline numbers, and other resources that had been developed or were in the stages of development by colleagues.  Data collection tools and resource sharing platforms should be a top priority for future work.</w:t>
      </w:r>
    </w:p>
    <w:p w:rsidR="0001049C" w:rsidRPr="009A7668" w:rsidRDefault="0001049C" w:rsidP="002C4184">
      <w:pPr>
        <w:rPr>
          <w:sz w:val="20"/>
          <w:szCs w:val="20"/>
        </w:rPr>
      </w:pPr>
      <w:r w:rsidRPr="001E43FC">
        <w:rPr>
          <w:sz w:val="20"/>
          <w:szCs w:val="20"/>
          <w:u w:val="single"/>
        </w:rPr>
        <w:t>Communications and messaging</w:t>
      </w:r>
      <w:r w:rsidRPr="001E43FC">
        <w:rPr>
          <w:sz w:val="20"/>
          <w:szCs w:val="20"/>
        </w:rPr>
        <w:t xml:space="preserve">:  Messaging efforts promoting the importance of the VRA have not yielded the results that we would have hoped; perhaps more work should have been done to explore and address the partisan and racial motivations behind </w:t>
      </w:r>
      <w:r w:rsidRPr="001E43FC">
        <w:rPr>
          <w:i/>
          <w:sz w:val="20"/>
          <w:szCs w:val="20"/>
        </w:rPr>
        <w:t>Shelby</w:t>
      </w:r>
      <w:r w:rsidRPr="001E43FC">
        <w:rPr>
          <w:sz w:val="20"/>
          <w:szCs w:val="20"/>
        </w:rPr>
        <w:t xml:space="preserve"> and this country’s history of racial discrimination in voting and other areas, more broadly to inform this work.  The field needed greater resources to take a longer term view at voting rights communications to determine how to make the case for continued full enforcement of the Voting Rights Act.  At the recent Lawyers Committee post-election convening, Reverend Yearwood of the Hip Hop Caucus spoke of the “segregated progressive” community; this too has contributed to the lack of coordination in the field. </w:t>
      </w:r>
    </w:p>
    <w:sectPr w:rsidR="0001049C" w:rsidRPr="009A7668" w:rsidSect="006C56B1">
      <w:footerReference w:type="default" r:id="rId9"/>
      <w:pgSz w:w="12240" w:h="163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652" w:rsidRDefault="00431652" w:rsidP="00F927D4">
      <w:pPr>
        <w:spacing w:after="0" w:line="240" w:lineRule="auto"/>
      </w:pPr>
      <w:r>
        <w:separator/>
      </w:r>
    </w:p>
  </w:endnote>
  <w:endnote w:type="continuationSeparator" w:id="0">
    <w:p w:rsidR="00431652" w:rsidRDefault="00431652" w:rsidP="00F92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4277311"/>
      <w:docPartObj>
        <w:docPartGallery w:val="Page Numbers (Bottom of Page)"/>
        <w:docPartUnique/>
      </w:docPartObj>
    </w:sdtPr>
    <w:sdtEndPr>
      <w:rPr>
        <w:noProof/>
      </w:rPr>
    </w:sdtEndPr>
    <w:sdtContent>
      <w:p w:rsidR="005D76E3" w:rsidRDefault="005D76E3">
        <w:pPr>
          <w:pStyle w:val="Footer"/>
          <w:jc w:val="right"/>
        </w:pPr>
        <w:r>
          <w:fldChar w:fldCharType="begin"/>
        </w:r>
        <w:r>
          <w:instrText xml:space="preserve"> PAGE   \* MERGEFORMAT </w:instrText>
        </w:r>
        <w:r>
          <w:fldChar w:fldCharType="separate"/>
        </w:r>
        <w:r w:rsidR="00EF5E0B">
          <w:rPr>
            <w:noProof/>
          </w:rPr>
          <w:t>1</w:t>
        </w:r>
        <w:r>
          <w:rPr>
            <w:noProof/>
          </w:rPr>
          <w:fldChar w:fldCharType="end"/>
        </w:r>
      </w:p>
    </w:sdtContent>
  </w:sdt>
  <w:p w:rsidR="00256829" w:rsidRDefault="002568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652" w:rsidRDefault="00431652" w:rsidP="00F927D4">
      <w:pPr>
        <w:spacing w:after="0" w:line="240" w:lineRule="auto"/>
      </w:pPr>
      <w:r>
        <w:separator/>
      </w:r>
    </w:p>
  </w:footnote>
  <w:footnote w:type="continuationSeparator" w:id="0">
    <w:p w:rsidR="00431652" w:rsidRDefault="00431652" w:rsidP="00F927D4">
      <w:pPr>
        <w:spacing w:after="0" w:line="240" w:lineRule="auto"/>
      </w:pPr>
      <w:r>
        <w:continuationSeparator/>
      </w:r>
    </w:p>
  </w:footnote>
  <w:footnote w:id="1">
    <w:p w:rsidR="00C45CF8" w:rsidRPr="001D1D66" w:rsidRDefault="00C45CF8" w:rsidP="00C45CF8">
      <w:pPr>
        <w:pStyle w:val="FootnoteText"/>
        <w:rPr>
          <w:sz w:val="18"/>
          <w:szCs w:val="18"/>
        </w:rPr>
      </w:pPr>
      <w:r w:rsidRPr="001D1D66">
        <w:rPr>
          <w:rStyle w:val="FootnoteReference"/>
          <w:sz w:val="18"/>
          <w:szCs w:val="18"/>
        </w:rPr>
        <w:footnoteRef/>
      </w:r>
      <w:r w:rsidRPr="001D1D66">
        <w:rPr>
          <w:sz w:val="18"/>
          <w:szCs w:val="18"/>
        </w:rPr>
        <w:t xml:space="preserve"> </w:t>
      </w:r>
      <w:r w:rsidRPr="001D1D66">
        <w:rPr>
          <w:i/>
          <w:sz w:val="18"/>
          <w:szCs w:val="18"/>
        </w:rPr>
        <w:t>See</w:t>
      </w:r>
      <w:r w:rsidRPr="001D1D66">
        <w:rPr>
          <w:sz w:val="18"/>
          <w:szCs w:val="18"/>
        </w:rPr>
        <w:t xml:space="preserve"> </w:t>
      </w:r>
      <w:r w:rsidR="0006080F">
        <w:rPr>
          <w:sz w:val="18"/>
          <w:szCs w:val="18"/>
        </w:rPr>
        <w:t xml:space="preserve">National Conference of State Legislatures, Voter ID History (10/16/2014), accessible at </w:t>
      </w:r>
      <w:hyperlink r:id="rId1" w:history="1">
        <w:r w:rsidRPr="001D1D66">
          <w:rPr>
            <w:rStyle w:val="Hyperlink"/>
            <w:sz w:val="18"/>
            <w:szCs w:val="18"/>
          </w:rPr>
          <w:t>http://www.ncsl.org/research/elections-and-campaigns/voter-id-history.aspx</w:t>
        </w:r>
      </w:hyperlink>
    </w:p>
  </w:footnote>
  <w:footnote w:id="2">
    <w:p w:rsidR="004C6D85" w:rsidRPr="00E734F6" w:rsidRDefault="004C6D85">
      <w:pPr>
        <w:pStyle w:val="FootnoteText"/>
        <w:rPr>
          <w:sz w:val="18"/>
          <w:szCs w:val="18"/>
        </w:rPr>
      </w:pPr>
      <w:r w:rsidRPr="001D1D66">
        <w:rPr>
          <w:rStyle w:val="FootnoteReference"/>
          <w:sz w:val="18"/>
          <w:szCs w:val="18"/>
        </w:rPr>
        <w:footnoteRef/>
      </w:r>
      <w:r w:rsidRPr="001D1D66">
        <w:rPr>
          <w:sz w:val="18"/>
          <w:szCs w:val="18"/>
        </w:rPr>
        <w:t xml:space="preserve"> </w:t>
      </w:r>
      <w:r w:rsidR="00920658" w:rsidRPr="001D1D66">
        <w:rPr>
          <w:sz w:val="18"/>
          <w:szCs w:val="18"/>
        </w:rPr>
        <w:t xml:space="preserve">It </w:t>
      </w:r>
      <w:r w:rsidR="003A69D2" w:rsidRPr="001D1D66">
        <w:rPr>
          <w:sz w:val="18"/>
          <w:szCs w:val="18"/>
        </w:rPr>
        <w:t xml:space="preserve">centered on </w:t>
      </w:r>
      <w:r w:rsidR="00202849" w:rsidRPr="001D1D66">
        <w:rPr>
          <w:sz w:val="18"/>
          <w:szCs w:val="18"/>
        </w:rPr>
        <w:t xml:space="preserve">mandating </w:t>
      </w:r>
      <w:r w:rsidR="00920658" w:rsidRPr="001D1D66">
        <w:rPr>
          <w:sz w:val="18"/>
          <w:szCs w:val="18"/>
        </w:rPr>
        <w:t xml:space="preserve">universal registration, </w:t>
      </w:r>
      <w:r w:rsidR="00FB2430" w:rsidRPr="001D1D66">
        <w:rPr>
          <w:sz w:val="18"/>
          <w:szCs w:val="18"/>
        </w:rPr>
        <w:t xml:space="preserve">with </w:t>
      </w:r>
      <w:r w:rsidR="00202849" w:rsidRPr="001D1D66">
        <w:rPr>
          <w:sz w:val="18"/>
          <w:szCs w:val="18"/>
        </w:rPr>
        <w:t xml:space="preserve">funds </w:t>
      </w:r>
      <w:r w:rsidR="003A69D2" w:rsidRPr="001D1D66">
        <w:rPr>
          <w:sz w:val="18"/>
          <w:szCs w:val="18"/>
        </w:rPr>
        <w:t>for states to implement the reform</w:t>
      </w:r>
      <w:r w:rsidR="00FB2430" w:rsidRPr="001D1D66">
        <w:rPr>
          <w:sz w:val="18"/>
          <w:szCs w:val="18"/>
        </w:rPr>
        <w:t xml:space="preserve">. </w:t>
      </w:r>
      <w:r w:rsidRPr="001D1D66">
        <w:rPr>
          <w:sz w:val="18"/>
          <w:szCs w:val="18"/>
        </w:rPr>
        <w:t>The core group included grantees Brennan Cen</w:t>
      </w:r>
      <w:r w:rsidR="00227F4B" w:rsidRPr="001D1D66">
        <w:rPr>
          <w:sz w:val="18"/>
          <w:szCs w:val="18"/>
        </w:rPr>
        <w:t>ter, Pew, Campaign Legal Center</w:t>
      </w:r>
      <w:r w:rsidRPr="001D1D66">
        <w:rPr>
          <w:sz w:val="18"/>
          <w:szCs w:val="18"/>
        </w:rPr>
        <w:t xml:space="preserve"> and the Lawyers’ Committee on Civil Rights,</w:t>
      </w:r>
      <w:r w:rsidR="00AA2171" w:rsidRPr="001D1D66">
        <w:rPr>
          <w:sz w:val="18"/>
          <w:szCs w:val="18"/>
        </w:rPr>
        <w:t xml:space="preserve"> with the tactical and communications support of </w:t>
      </w:r>
      <w:r w:rsidRPr="001D1D66">
        <w:rPr>
          <w:sz w:val="18"/>
          <w:szCs w:val="18"/>
        </w:rPr>
        <w:t>The Glover Park Group</w:t>
      </w:r>
      <w:r w:rsidR="00227F4B" w:rsidRPr="001D1D66">
        <w:rPr>
          <w:sz w:val="18"/>
          <w:szCs w:val="18"/>
        </w:rPr>
        <w:t xml:space="preserve">. </w:t>
      </w:r>
    </w:p>
  </w:footnote>
  <w:footnote w:id="3">
    <w:p w:rsidR="00E734F6" w:rsidRDefault="00E734F6">
      <w:pPr>
        <w:pStyle w:val="FootnoteText"/>
      </w:pPr>
      <w:r w:rsidRPr="00E734F6">
        <w:rPr>
          <w:rStyle w:val="FootnoteReference"/>
          <w:sz w:val="18"/>
          <w:szCs w:val="18"/>
        </w:rPr>
        <w:footnoteRef/>
      </w:r>
      <w:r w:rsidRPr="00E734F6">
        <w:rPr>
          <w:rFonts w:cs="Times New Roman"/>
          <w:sz w:val="18"/>
          <w:szCs w:val="18"/>
        </w:rPr>
        <w:t xml:space="preserve">  Eleven member states and Washington DC now participate in ERIC, which has identified about 15 million eligible but </w:t>
      </w:r>
      <w:r w:rsidRPr="00E734F6">
        <w:rPr>
          <w:rFonts w:cs="Times New Roman"/>
          <w:i/>
          <w:sz w:val="18"/>
          <w:szCs w:val="18"/>
        </w:rPr>
        <w:t>never</w:t>
      </w:r>
      <w:r w:rsidRPr="00E734F6">
        <w:rPr>
          <w:rFonts w:cs="Times New Roman"/>
          <w:sz w:val="18"/>
          <w:szCs w:val="18"/>
        </w:rPr>
        <w:t xml:space="preserve"> registered citizens in these states and sent them registration forms. In controlled experiments to test the effect of the mailings, those ERIC reached out to had about a 50% higher rate of registration than the control group. This group also turned out to vote at a rate of about 50% higher than the control group. In 2012, total outreach was to 5.7 million eligible but unregistered citizens. About 300,000 of them registered in the 2-3 weeks after outreach – a rate of over 5% at a cost of less than $5 per registration.  Some states saw much higher rates than others (e.g., Colorado and Virginia, where the rate was about 10%).</w:t>
      </w:r>
    </w:p>
  </w:footnote>
  <w:footnote w:id="4">
    <w:p w:rsidR="008D4551" w:rsidRPr="001D1D66" w:rsidRDefault="008D4551">
      <w:pPr>
        <w:pStyle w:val="FootnoteText"/>
        <w:rPr>
          <w:sz w:val="18"/>
          <w:szCs w:val="18"/>
        </w:rPr>
      </w:pPr>
      <w:r w:rsidRPr="001D1D66">
        <w:rPr>
          <w:rStyle w:val="FootnoteReference"/>
          <w:sz w:val="18"/>
          <w:szCs w:val="18"/>
        </w:rPr>
        <w:footnoteRef/>
      </w:r>
      <w:r w:rsidRPr="001D1D66">
        <w:rPr>
          <w:sz w:val="18"/>
          <w:szCs w:val="18"/>
        </w:rPr>
        <w:t xml:space="preserve"> The </w:t>
      </w:r>
      <w:r w:rsidR="00202849" w:rsidRPr="001D1D66">
        <w:rPr>
          <w:sz w:val="18"/>
          <w:szCs w:val="18"/>
        </w:rPr>
        <w:t>4-part plan</w:t>
      </w:r>
      <w:r w:rsidRPr="001D1D66">
        <w:rPr>
          <w:rFonts w:cs="Times New Roman"/>
          <w:sz w:val="18"/>
          <w:szCs w:val="18"/>
        </w:rPr>
        <w:t xml:space="preserve"> called for electronic registration by government; </w:t>
      </w:r>
      <w:r w:rsidR="001D1D66">
        <w:rPr>
          <w:rFonts w:cs="Times New Roman"/>
          <w:sz w:val="18"/>
          <w:szCs w:val="18"/>
        </w:rPr>
        <w:t xml:space="preserve">portable </w:t>
      </w:r>
      <w:r w:rsidRPr="001D1D66">
        <w:rPr>
          <w:rFonts w:cs="Times New Roman"/>
          <w:sz w:val="18"/>
          <w:szCs w:val="18"/>
        </w:rPr>
        <w:t>registration; provided fail-safe procedures to ensure that eligible voters could register/correct data when they voted; and offered states federal funding to finance these upgrades.</w:t>
      </w:r>
    </w:p>
  </w:footnote>
  <w:footnote w:id="5">
    <w:p w:rsidR="00906BA9" w:rsidRPr="007519A6" w:rsidRDefault="00906BA9" w:rsidP="007519A6">
      <w:pPr>
        <w:rPr>
          <w:sz w:val="20"/>
          <w:szCs w:val="20"/>
        </w:rPr>
      </w:pPr>
      <w:r w:rsidRPr="001D1D66">
        <w:rPr>
          <w:rStyle w:val="FootnoteReference"/>
          <w:sz w:val="18"/>
          <w:szCs w:val="18"/>
        </w:rPr>
        <w:footnoteRef/>
      </w:r>
      <w:r w:rsidR="00D06AFF" w:rsidRPr="001D1D66">
        <w:rPr>
          <w:rFonts w:cs="Times New Roman"/>
          <w:sz w:val="18"/>
          <w:szCs w:val="18"/>
        </w:rPr>
        <w:t xml:space="preserve"> </w:t>
      </w:r>
      <w:r w:rsidR="001D1D66">
        <w:rPr>
          <w:rFonts w:cs="Times New Roman"/>
          <w:sz w:val="18"/>
          <w:szCs w:val="18"/>
        </w:rPr>
        <w:t xml:space="preserve">Forty-five </w:t>
      </w:r>
      <w:r w:rsidR="00A76836" w:rsidRPr="001D1D66">
        <w:rPr>
          <w:sz w:val="18"/>
          <w:szCs w:val="18"/>
        </w:rPr>
        <w:t xml:space="preserve">states have adopted at least one of the four elements of </w:t>
      </w:r>
      <w:r w:rsidR="001D1D66">
        <w:rPr>
          <w:sz w:val="18"/>
          <w:szCs w:val="18"/>
        </w:rPr>
        <w:t xml:space="preserve">the Brennan policy; </w:t>
      </w:r>
      <w:r w:rsidR="001D1D66" w:rsidRPr="007D17C0">
        <w:rPr>
          <w:i/>
          <w:sz w:val="18"/>
          <w:szCs w:val="18"/>
        </w:rPr>
        <w:t>see</w:t>
      </w:r>
      <w:r w:rsidR="007D17C0">
        <w:rPr>
          <w:sz w:val="18"/>
          <w:szCs w:val="18"/>
        </w:rPr>
        <w:t xml:space="preserve"> for state-by-</w:t>
      </w:r>
      <w:r w:rsidR="001D1D66">
        <w:rPr>
          <w:sz w:val="18"/>
          <w:szCs w:val="18"/>
        </w:rPr>
        <w:t>state breakdown</w:t>
      </w:r>
      <w:r w:rsidR="008B5C9F" w:rsidRPr="001D1D66">
        <w:rPr>
          <w:sz w:val="18"/>
          <w:szCs w:val="18"/>
        </w:rPr>
        <w:t>:</w:t>
      </w:r>
      <w:r w:rsidR="001D1D66">
        <w:rPr>
          <w:sz w:val="18"/>
          <w:szCs w:val="18"/>
        </w:rPr>
        <w:t xml:space="preserve"> </w:t>
      </w:r>
      <w:hyperlink r:id="rId2" w:history="1">
        <w:r w:rsidR="008B5C9F" w:rsidRPr="007D17C0">
          <w:rPr>
            <w:rStyle w:val="Hyperlink"/>
            <w:sz w:val="18"/>
            <w:szCs w:val="18"/>
          </w:rPr>
          <w:t>http://www.brennancenter.org/analysis/voter-registration-modernization-states</w:t>
        </w:r>
      </w:hyperlink>
      <w:r w:rsidR="008B5C9F" w:rsidRPr="001D1D66">
        <w:rPr>
          <w:sz w:val="18"/>
          <w:szCs w:val="18"/>
        </w:rPr>
        <w:t>.</w:t>
      </w:r>
      <w:r w:rsidR="00CB3080">
        <w:rPr>
          <w:sz w:val="18"/>
          <w:szCs w:val="18"/>
        </w:rPr>
        <w:t xml:space="preserve"> </w:t>
      </w:r>
      <w:r w:rsidR="00A76836" w:rsidRPr="001D1D66">
        <w:rPr>
          <w:rFonts w:cs="Times New Roman"/>
          <w:sz w:val="18"/>
          <w:szCs w:val="18"/>
        </w:rPr>
        <w:t xml:space="preserve">While Brennan hasn’t analyzed how many new registrations have resulted, it </w:t>
      </w:r>
      <w:r w:rsidR="00A76836" w:rsidRPr="001D1D66">
        <w:rPr>
          <w:sz w:val="18"/>
          <w:szCs w:val="18"/>
        </w:rPr>
        <w:t xml:space="preserve">initially examines the impact of these reforms in </w:t>
      </w:r>
      <w:hyperlink r:id="rId3" w:history="1">
        <w:r w:rsidR="00A76836" w:rsidRPr="007D17C0">
          <w:rPr>
            <w:rStyle w:val="Hyperlink"/>
            <w:sz w:val="18"/>
            <w:szCs w:val="18"/>
          </w:rPr>
          <w:t>Voter Registration in a Digital Age</w:t>
        </w:r>
      </w:hyperlink>
      <w:r w:rsidR="00A76836" w:rsidRPr="001D1D66">
        <w:rPr>
          <w:sz w:val="18"/>
          <w:szCs w:val="18"/>
        </w:rPr>
        <w:t>.</w:t>
      </w:r>
    </w:p>
  </w:footnote>
  <w:footnote w:id="6">
    <w:p w:rsidR="001D5382" w:rsidRPr="00B208E6" w:rsidRDefault="001D5382">
      <w:pPr>
        <w:pStyle w:val="FootnoteText"/>
        <w:rPr>
          <w:sz w:val="18"/>
          <w:szCs w:val="18"/>
        </w:rPr>
      </w:pPr>
      <w:r>
        <w:rPr>
          <w:rStyle w:val="FootnoteReference"/>
        </w:rPr>
        <w:footnoteRef/>
      </w:r>
      <w:r>
        <w:t xml:space="preserve"> </w:t>
      </w:r>
      <w:r w:rsidRPr="00B208E6">
        <w:rPr>
          <w:sz w:val="18"/>
          <w:szCs w:val="18"/>
        </w:rPr>
        <w:t>By 2014, 2.1 million new voters</w:t>
      </w:r>
      <w:r w:rsidR="00314E93" w:rsidRPr="00B208E6">
        <w:rPr>
          <w:sz w:val="18"/>
          <w:szCs w:val="18"/>
        </w:rPr>
        <w:t xml:space="preserve"> have been registered </w:t>
      </w:r>
      <w:r w:rsidR="006956A0" w:rsidRPr="00B208E6">
        <w:rPr>
          <w:sz w:val="18"/>
          <w:szCs w:val="18"/>
        </w:rPr>
        <w:t xml:space="preserve">in 14 states </w:t>
      </w:r>
      <w:r w:rsidR="00314E93" w:rsidRPr="00B208E6">
        <w:rPr>
          <w:sz w:val="18"/>
          <w:szCs w:val="18"/>
        </w:rPr>
        <w:t>through this work</w:t>
      </w:r>
      <w:r w:rsidRPr="00B208E6">
        <w:rPr>
          <w:sz w:val="18"/>
          <w:szCs w:val="18"/>
        </w:rPr>
        <w:t xml:space="preserve">.  </w:t>
      </w:r>
    </w:p>
  </w:footnote>
  <w:footnote w:id="7">
    <w:p w:rsidR="00906BA9" w:rsidRPr="00B208E6" w:rsidRDefault="00906BA9">
      <w:pPr>
        <w:pStyle w:val="FootnoteText"/>
        <w:rPr>
          <w:sz w:val="18"/>
          <w:szCs w:val="18"/>
        </w:rPr>
      </w:pPr>
      <w:r w:rsidRPr="00B208E6">
        <w:rPr>
          <w:rStyle w:val="FootnoteReference"/>
          <w:sz w:val="18"/>
          <w:szCs w:val="18"/>
        </w:rPr>
        <w:footnoteRef/>
      </w:r>
      <w:r w:rsidRPr="00B208E6">
        <w:rPr>
          <w:sz w:val="18"/>
          <w:szCs w:val="18"/>
        </w:rPr>
        <w:t xml:space="preserve"> </w:t>
      </w:r>
      <w:r w:rsidR="007D17C0" w:rsidRPr="007D17C0">
        <w:rPr>
          <w:i/>
          <w:sz w:val="18"/>
          <w:szCs w:val="18"/>
        </w:rPr>
        <w:t xml:space="preserve">See </w:t>
      </w:r>
      <w:r w:rsidR="00CB3080">
        <w:rPr>
          <w:sz w:val="18"/>
          <w:szCs w:val="18"/>
        </w:rPr>
        <w:t xml:space="preserve">Brennan’s </w:t>
      </w:r>
      <w:r w:rsidRPr="00B208E6">
        <w:rPr>
          <w:i/>
          <w:sz w:val="18"/>
          <w:szCs w:val="18"/>
        </w:rPr>
        <w:t>Voting Law Changes in 2012</w:t>
      </w:r>
      <w:r w:rsidR="005F37D1" w:rsidRPr="00B208E6">
        <w:rPr>
          <w:sz w:val="18"/>
          <w:szCs w:val="18"/>
        </w:rPr>
        <w:t xml:space="preserve">, </w:t>
      </w:r>
      <w:r w:rsidR="00CB3080">
        <w:rPr>
          <w:sz w:val="18"/>
          <w:szCs w:val="18"/>
        </w:rPr>
        <w:t xml:space="preserve">accessible </w:t>
      </w:r>
      <w:r w:rsidR="005F37D1" w:rsidRPr="00B208E6">
        <w:rPr>
          <w:sz w:val="18"/>
          <w:szCs w:val="18"/>
        </w:rPr>
        <w:t xml:space="preserve">at </w:t>
      </w:r>
      <w:hyperlink r:id="rId4" w:history="1">
        <w:r w:rsidR="005F37D1" w:rsidRPr="00B208E6">
          <w:rPr>
            <w:rStyle w:val="Hyperlink"/>
            <w:sz w:val="18"/>
            <w:szCs w:val="18"/>
          </w:rPr>
          <w:t>http://www.brennancenter.org/publication/voting-law-changes-2012</w:t>
        </w:r>
      </w:hyperlink>
      <w:r w:rsidRPr="00B208E6">
        <w:rPr>
          <w:sz w:val="18"/>
          <w:szCs w:val="18"/>
        </w:rPr>
        <w:t xml:space="preserve">. </w:t>
      </w:r>
    </w:p>
  </w:footnote>
  <w:footnote w:id="8">
    <w:p w:rsidR="00906BA9" w:rsidRPr="00E5539D" w:rsidRDefault="00906BA9">
      <w:pPr>
        <w:pStyle w:val="FootnoteText"/>
      </w:pPr>
      <w:r w:rsidRPr="00B208E6">
        <w:rPr>
          <w:rStyle w:val="FootnoteReference"/>
          <w:sz w:val="18"/>
          <w:szCs w:val="18"/>
        </w:rPr>
        <w:footnoteRef/>
      </w:r>
      <w:r w:rsidRPr="00B208E6">
        <w:rPr>
          <w:sz w:val="18"/>
          <w:szCs w:val="18"/>
        </w:rPr>
        <w:t xml:space="preserve"> </w:t>
      </w:r>
      <w:r w:rsidR="00640A14" w:rsidRPr="00B208E6">
        <w:rPr>
          <w:sz w:val="18"/>
          <w:szCs w:val="18"/>
        </w:rPr>
        <w:t xml:space="preserve">This work wasn’t without its challenges. </w:t>
      </w:r>
      <w:r w:rsidR="00BE3311" w:rsidRPr="00B208E6">
        <w:rPr>
          <w:sz w:val="18"/>
          <w:szCs w:val="18"/>
        </w:rPr>
        <w:t xml:space="preserve">Although </w:t>
      </w:r>
      <w:r w:rsidR="00640A14" w:rsidRPr="00B208E6">
        <w:rPr>
          <w:sz w:val="18"/>
          <w:szCs w:val="18"/>
        </w:rPr>
        <w:t xml:space="preserve">the 2012 cycle involved more collaboration than </w:t>
      </w:r>
      <w:r w:rsidR="00B208E6">
        <w:rPr>
          <w:sz w:val="18"/>
          <w:szCs w:val="18"/>
        </w:rPr>
        <w:t>in past</w:t>
      </w:r>
      <w:r w:rsidR="00640A14" w:rsidRPr="00B208E6">
        <w:rPr>
          <w:sz w:val="18"/>
          <w:szCs w:val="18"/>
        </w:rPr>
        <w:t xml:space="preserve"> cycle</w:t>
      </w:r>
      <w:r w:rsidR="00B208E6">
        <w:rPr>
          <w:sz w:val="18"/>
          <w:szCs w:val="18"/>
        </w:rPr>
        <w:t>s</w:t>
      </w:r>
      <w:r w:rsidR="00640A14" w:rsidRPr="00B208E6">
        <w:rPr>
          <w:sz w:val="18"/>
          <w:szCs w:val="18"/>
        </w:rPr>
        <w:t>, national groups</w:t>
      </w:r>
      <w:r w:rsidR="00B208E6">
        <w:rPr>
          <w:sz w:val="18"/>
          <w:szCs w:val="18"/>
        </w:rPr>
        <w:t>’</w:t>
      </w:r>
      <w:r w:rsidR="00640A14" w:rsidRPr="00B208E6">
        <w:rPr>
          <w:sz w:val="18"/>
          <w:szCs w:val="18"/>
        </w:rPr>
        <w:t xml:space="preserve"> work at the state level reopened old wounds, though the field is more willing to remedy these problems</w:t>
      </w:r>
      <w:r w:rsidR="00B208E6">
        <w:rPr>
          <w:sz w:val="18"/>
          <w:szCs w:val="18"/>
        </w:rPr>
        <w:t xml:space="preserve">, seeing that </w:t>
      </w:r>
      <w:r w:rsidR="00640A14" w:rsidRPr="00B208E6">
        <w:rPr>
          <w:sz w:val="18"/>
          <w:szCs w:val="18"/>
        </w:rPr>
        <w:t>encroachments on the vote</w:t>
      </w:r>
      <w:r w:rsidR="00B208E6">
        <w:rPr>
          <w:sz w:val="18"/>
          <w:szCs w:val="18"/>
        </w:rPr>
        <w:t xml:space="preserve"> continue</w:t>
      </w:r>
      <w:r w:rsidR="00BE3311" w:rsidRPr="00B208E6">
        <w:rPr>
          <w:sz w:val="18"/>
          <w:szCs w:val="18"/>
        </w:rPr>
        <w:t>,</w:t>
      </w:r>
      <w:r w:rsidR="00B322B4" w:rsidRPr="00B208E6">
        <w:rPr>
          <w:sz w:val="18"/>
          <w:szCs w:val="18"/>
        </w:rPr>
        <w:t xml:space="preserve"> and has developed a set of “operating principles”</w:t>
      </w:r>
      <w:r w:rsidR="00B208E6">
        <w:rPr>
          <w:sz w:val="18"/>
          <w:szCs w:val="18"/>
        </w:rPr>
        <w:t xml:space="preserve"> to build trust, communication and collaboration.</w:t>
      </w:r>
      <w:r w:rsidR="00B322B4">
        <w:t xml:space="preserve">  </w:t>
      </w:r>
      <w:r w:rsidR="00001269">
        <w:t xml:space="preserve"> </w:t>
      </w:r>
    </w:p>
  </w:footnote>
  <w:footnote w:id="9">
    <w:p w:rsidR="003D6FDA" w:rsidRPr="00B208E6" w:rsidRDefault="003D6FDA">
      <w:pPr>
        <w:pStyle w:val="FootnoteText"/>
        <w:rPr>
          <w:sz w:val="18"/>
          <w:szCs w:val="18"/>
        </w:rPr>
      </w:pPr>
      <w:r>
        <w:rPr>
          <w:rStyle w:val="FootnoteReference"/>
        </w:rPr>
        <w:footnoteRef/>
      </w:r>
      <w:r>
        <w:t xml:space="preserve"> </w:t>
      </w:r>
      <w:r w:rsidR="004F425A" w:rsidRPr="00B208E6">
        <w:rPr>
          <w:sz w:val="18"/>
          <w:szCs w:val="18"/>
        </w:rPr>
        <w:t xml:space="preserve">The </w:t>
      </w:r>
      <w:r w:rsidRPr="00B208E6">
        <w:rPr>
          <w:sz w:val="18"/>
          <w:szCs w:val="18"/>
        </w:rPr>
        <w:t>Bus Federation led the effort to establish N</w:t>
      </w:r>
      <w:r w:rsidR="00CB3080">
        <w:rPr>
          <w:sz w:val="18"/>
          <w:szCs w:val="18"/>
        </w:rPr>
        <w:t xml:space="preserve">ational Voter Registration day. In 2012, </w:t>
      </w:r>
      <w:r w:rsidRPr="00B208E6">
        <w:rPr>
          <w:sz w:val="18"/>
          <w:szCs w:val="18"/>
        </w:rPr>
        <w:t xml:space="preserve">about 304,000 </w:t>
      </w:r>
      <w:r w:rsidR="00B208E6">
        <w:rPr>
          <w:sz w:val="18"/>
          <w:szCs w:val="18"/>
        </w:rPr>
        <w:t xml:space="preserve">young voters </w:t>
      </w:r>
      <w:r w:rsidRPr="00B208E6">
        <w:rPr>
          <w:sz w:val="18"/>
          <w:szCs w:val="18"/>
        </w:rPr>
        <w:t>registered</w:t>
      </w:r>
      <w:r w:rsidR="00CB3080">
        <w:rPr>
          <w:sz w:val="18"/>
          <w:szCs w:val="18"/>
        </w:rPr>
        <w:t xml:space="preserve"> </w:t>
      </w:r>
      <w:r w:rsidRPr="00B208E6">
        <w:rPr>
          <w:sz w:val="18"/>
          <w:szCs w:val="18"/>
        </w:rPr>
        <w:t>on</w:t>
      </w:r>
      <w:r w:rsidR="00CB3080">
        <w:rPr>
          <w:sz w:val="18"/>
          <w:szCs w:val="18"/>
        </w:rPr>
        <w:t xml:space="preserve"> NVRD. </w:t>
      </w:r>
    </w:p>
  </w:footnote>
  <w:footnote w:id="10">
    <w:p w:rsidR="003230A6" w:rsidRPr="007D17C0" w:rsidRDefault="003230A6">
      <w:pPr>
        <w:pStyle w:val="FootnoteText"/>
        <w:rPr>
          <w:sz w:val="18"/>
          <w:szCs w:val="18"/>
        </w:rPr>
      </w:pPr>
      <w:r w:rsidRPr="007D17C0">
        <w:rPr>
          <w:rStyle w:val="FootnoteReference"/>
          <w:sz w:val="18"/>
          <w:szCs w:val="18"/>
        </w:rPr>
        <w:footnoteRef/>
      </w:r>
      <w:r w:rsidRPr="007D17C0">
        <w:rPr>
          <w:sz w:val="18"/>
          <w:szCs w:val="18"/>
        </w:rPr>
        <w:t xml:space="preserve"> </w:t>
      </w:r>
      <w:r w:rsidRPr="007D17C0">
        <w:rPr>
          <w:rFonts w:eastAsia="Times New Roman"/>
          <w:sz w:val="18"/>
          <w:szCs w:val="18"/>
          <w:lang w:val="en"/>
        </w:rPr>
        <w:t xml:space="preserve">Demos contributed to its implementation in </w:t>
      </w:r>
      <w:r w:rsidR="002049CE">
        <w:rPr>
          <w:rFonts w:eastAsia="Times New Roman"/>
          <w:sz w:val="18"/>
          <w:szCs w:val="18"/>
          <w:lang w:val="en"/>
        </w:rPr>
        <w:t>the</w:t>
      </w:r>
      <w:r w:rsidRPr="007D17C0">
        <w:rPr>
          <w:rFonts w:eastAsia="Times New Roman"/>
          <w:sz w:val="18"/>
          <w:szCs w:val="18"/>
          <w:lang w:val="en"/>
        </w:rPr>
        <w:t xml:space="preserve"> 9 states plus DC that have </w:t>
      </w:r>
      <w:r w:rsidR="002049CE">
        <w:rPr>
          <w:rFonts w:eastAsia="Times New Roman"/>
          <w:sz w:val="18"/>
          <w:szCs w:val="18"/>
          <w:lang w:val="en"/>
        </w:rPr>
        <w:t xml:space="preserve">SDR </w:t>
      </w:r>
      <w:r w:rsidRPr="007D17C0">
        <w:rPr>
          <w:rFonts w:eastAsia="Times New Roman"/>
          <w:sz w:val="18"/>
          <w:szCs w:val="18"/>
          <w:lang w:val="en"/>
        </w:rPr>
        <w:t>(North Carolina</w:t>
      </w:r>
      <w:r w:rsidR="002049CE">
        <w:rPr>
          <w:rFonts w:eastAsia="Times New Roman"/>
          <w:sz w:val="18"/>
          <w:szCs w:val="18"/>
          <w:lang w:val="en"/>
        </w:rPr>
        <w:t xml:space="preserve"> implemented and then revoked SDR</w:t>
      </w:r>
      <w:r w:rsidRPr="007D17C0">
        <w:rPr>
          <w:rFonts w:eastAsia="Times New Roman"/>
          <w:sz w:val="18"/>
          <w:szCs w:val="18"/>
          <w:lang w:val="en"/>
        </w:rPr>
        <w:t xml:space="preserve">).  </w:t>
      </w:r>
    </w:p>
  </w:footnote>
  <w:footnote w:id="11">
    <w:p w:rsidR="004F425A" w:rsidRDefault="00385009">
      <w:pPr>
        <w:pStyle w:val="FootnoteText"/>
      </w:pPr>
      <w:r w:rsidRPr="007D17C0">
        <w:rPr>
          <w:rStyle w:val="FootnoteReference"/>
          <w:sz w:val="18"/>
          <w:szCs w:val="18"/>
        </w:rPr>
        <w:footnoteRef/>
      </w:r>
      <w:r w:rsidRPr="007D17C0">
        <w:rPr>
          <w:sz w:val="18"/>
          <w:szCs w:val="18"/>
        </w:rPr>
        <w:t xml:space="preserve"> </w:t>
      </w:r>
      <w:r w:rsidRPr="007D17C0">
        <w:rPr>
          <w:i/>
          <w:sz w:val="18"/>
          <w:szCs w:val="18"/>
        </w:rPr>
        <w:t>See</w:t>
      </w:r>
      <w:r w:rsidRPr="007D17C0">
        <w:rPr>
          <w:sz w:val="18"/>
          <w:szCs w:val="18"/>
        </w:rPr>
        <w:t xml:space="preserve"> </w:t>
      </w:r>
      <w:proofErr w:type="gramStart"/>
      <w:r w:rsidRPr="007D17C0">
        <w:rPr>
          <w:i/>
          <w:sz w:val="18"/>
          <w:szCs w:val="18"/>
        </w:rPr>
        <w:t>Here’s</w:t>
      </w:r>
      <w:proofErr w:type="gramEnd"/>
      <w:r w:rsidRPr="007D17C0">
        <w:rPr>
          <w:i/>
          <w:sz w:val="18"/>
          <w:szCs w:val="18"/>
        </w:rPr>
        <w:t xml:space="preserve"> How Much it Costs to Vote in States With Voter ID Laws,</w:t>
      </w:r>
      <w:r w:rsidRPr="007D17C0">
        <w:rPr>
          <w:sz w:val="18"/>
          <w:szCs w:val="18"/>
        </w:rPr>
        <w:t xml:space="preserve"> </w:t>
      </w:r>
      <w:r w:rsidR="002049CE">
        <w:rPr>
          <w:sz w:val="18"/>
          <w:szCs w:val="18"/>
        </w:rPr>
        <w:t xml:space="preserve">accessible </w:t>
      </w:r>
      <w:r w:rsidRPr="007D17C0">
        <w:rPr>
          <w:sz w:val="18"/>
          <w:szCs w:val="18"/>
        </w:rPr>
        <w:t xml:space="preserve">at </w:t>
      </w:r>
      <w:hyperlink r:id="rId5" w:history="1">
        <w:r w:rsidR="004F425A" w:rsidRPr="007D17C0">
          <w:rPr>
            <w:rStyle w:val="Hyperlink"/>
            <w:sz w:val="18"/>
            <w:szCs w:val="18"/>
          </w:rPr>
          <w:t>http://www.nationaljournal.com/domesticpolicy/voter-id-laws-can-decrease-minority-and-youth-turnout-20141008</w:t>
        </w:r>
      </w:hyperlink>
      <w:r w:rsidR="007D17C0" w:rsidRPr="00B208E6">
        <w:rPr>
          <w:sz w:val="18"/>
          <w:szCs w:val="18"/>
        </w:rPr>
        <w:t>.</w:t>
      </w:r>
    </w:p>
  </w:footnote>
  <w:footnote w:id="12">
    <w:p w:rsidR="00906BA9" w:rsidRPr="007D17C0" w:rsidRDefault="00906BA9">
      <w:pPr>
        <w:pStyle w:val="FootnoteText"/>
        <w:rPr>
          <w:sz w:val="18"/>
          <w:szCs w:val="18"/>
        </w:rPr>
      </w:pPr>
      <w:r w:rsidRPr="007D17C0">
        <w:rPr>
          <w:rStyle w:val="FootnoteReference"/>
          <w:sz w:val="18"/>
          <w:szCs w:val="18"/>
        </w:rPr>
        <w:footnoteRef/>
      </w:r>
      <w:r w:rsidRPr="007D17C0">
        <w:rPr>
          <w:sz w:val="18"/>
          <w:szCs w:val="18"/>
        </w:rPr>
        <w:t xml:space="preserve">  </w:t>
      </w:r>
      <w:r w:rsidRPr="007D17C0">
        <w:rPr>
          <w:i/>
          <w:sz w:val="18"/>
          <w:szCs w:val="18"/>
        </w:rPr>
        <w:t>See</w:t>
      </w:r>
      <w:r w:rsidRPr="007D17C0">
        <w:rPr>
          <w:sz w:val="18"/>
          <w:szCs w:val="18"/>
        </w:rPr>
        <w:t xml:space="preserve"> n.7; </w:t>
      </w:r>
      <w:r w:rsidRPr="007D17C0">
        <w:rPr>
          <w:i/>
          <w:sz w:val="18"/>
          <w:szCs w:val="18"/>
        </w:rPr>
        <w:t>see also</w:t>
      </w:r>
      <w:r w:rsidRPr="007D17C0">
        <w:rPr>
          <w:sz w:val="18"/>
          <w:szCs w:val="18"/>
        </w:rPr>
        <w:t xml:space="preserve"> “Map of Shame” by the Lawyers’ Committee &amp; Election Protection Coalition (2012) (showing state by state efforts to suppress the vote, and offering a sense of scale, </w:t>
      </w:r>
      <w:hyperlink r:id="rId6" w:history="1">
        <w:r w:rsidRPr="007D17C0">
          <w:rPr>
            <w:rStyle w:val="Hyperlink"/>
            <w:sz w:val="18"/>
            <w:szCs w:val="18"/>
          </w:rPr>
          <w:t>http://www.lawyerscommittee.org/projects/voting_rights/page?id=0117</w:t>
        </w:r>
      </w:hyperlink>
      <w:r w:rsidRPr="007D17C0">
        <w:rPr>
          <w:sz w:val="18"/>
          <w:szCs w:val="18"/>
        </w:rPr>
        <w:t>).</w:t>
      </w:r>
    </w:p>
  </w:footnote>
  <w:footnote w:id="13">
    <w:p w:rsidR="003230A6" w:rsidRPr="007D17C0" w:rsidRDefault="003230A6">
      <w:pPr>
        <w:pStyle w:val="FootnoteText"/>
        <w:rPr>
          <w:sz w:val="18"/>
          <w:szCs w:val="18"/>
        </w:rPr>
      </w:pPr>
      <w:r w:rsidRPr="007D17C0">
        <w:rPr>
          <w:rStyle w:val="FootnoteReference"/>
          <w:sz w:val="18"/>
          <w:szCs w:val="18"/>
        </w:rPr>
        <w:footnoteRef/>
      </w:r>
      <w:r w:rsidRPr="007D17C0">
        <w:rPr>
          <w:sz w:val="18"/>
          <w:szCs w:val="18"/>
        </w:rPr>
        <w:t xml:space="preserve"> </w:t>
      </w:r>
      <w:r w:rsidRPr="007D17C0">
        <w:rPr>
          <w:rFonts w:eastAsia="Times New Roman"/>
          <w:sz w:val="18"/>
          <w:szCs w:val="18"/>
          <w:lang w:val="en"/>
        </w:rPr>
        <w:t xml:space="preserve">The </w:t>
      </w:r>
      <w:r w:rsidRPr="007D17C0">
        <w:rPr>
          <w:sz w:val="18"/>
          <w:szCs w:val="18"/>
          <w:lang w:val="en"/>
        </w:rPr>
        <w:t xml:space="preserve">research helped persuade all but one of the states considering ID proposals to abandon them (and encouraged one state that </w:t>
      </w:r>
      <w:r w:rsidRPr="007D17C0">
        <w:rPr>
          <w:i/>
          <w:sz w:val="18"/>
          <w:szCs w:val="18"/>
          <w:lang w:val="en"/>
        </w:rPr>
        <w:t>did</w:t>
      </w:r>
      <w:r w:rsidRPr="007D17C0">
        <w:rPr>
          <w:sz w:val="18"/>
          <w:szCs w:val="18"/>
          <w:lang w:val="en"/>
        </w:rPr>
        <w:t xml:space="preserve"> adopt an ID proposal to include extraordinary efforts to help people secure IDs). </w:t>
      </w:r>
    </w:p>
  </w:footnote>
  <w:footnote w:id="14">
    <w:p w:rsidR="00906BA9" w:rsidRPr="007D17C0" w:rsidRDefault="00906BA9">
      <w:pPr>
        <w:pStyle w:val="FootnoteText"/>
        <w:rPr>
          <w:sz w:val="18"/>
          <w:szCs w:val="18"/>
        </w:rPr>
      </w:pPr>
      <w:r w:rsidRPr="007D17C0">
        <w:rPr>
          <w:rStyle w:val="FootnoteReference"/>
          <w:sz w:val="18"/>
          <w:szCs w:val="18"/>
        </w:rPr>
        <w:footnoteRef/>
      </w:r>
      <w:r w:rsidRPr="007D17C0">
        <w:rPr>
          <w:sz w:val="18"/>
          <w:szCs w:val="18"/>
        </w:rPr>
        <w:t xml:space="preserve"> These groups have historical antecedents. The most recent may have been Operation Eagle Eye the nation’s first large scale anti-voter fraud campaign follow</w:t>
      </w:r>
      <w:r w:rsidR="00B64AD5" w:rsidRPr="007D17C0">
        <w:rPr>
          <w:sz w:val="18"/>
          <w:szCs w:val="18"/>
        </w:rPr>
        <w:t>ing</w:t>
      </w:r>
      <w:r w:rsidRPr="007D17C0">
        <w:rPr>
          <w:sz w:val="18"/>
          <w:szCs w:val="18"/>
        </w:rPr>
        <w:t xml:space="preserve"> passage of the Civil Rights Acts of 1964 and Voting Rights Act of 1965. </w:t>
      </w:r>
      <w:r w:rsidR="004F425A" w:rsidRPr="007D17C0">
        <w:rPr>
          <w:sz w:val="18"/>
          <w:szCs w:val="18"/>
        </w:rPr>
        <w:t xml:space="preserve"> </w:t>
      </w:r>
      <w:r w:rsidRPr="007D17C0">
        <w:rPr>
          <w:sz w:val="18"/>
          <w:szCs w:val="18"/>
        </w:rPr>
        <w:t xml:space="preserve">By banning discriminatory practices, they had stoked fears of </w:t>
      </w:r>
      <w:r w:rsidR="00B64AD5" w:rsidRPr="007D17C0">
        <w:rPr>
          <w:sz w:val="18"/>
          <w:szCs w:val="18"/>
        </w:rPr>
        <w:t xml:space="preserve">the </w:t>
      </w:r>
      <w:r w:rsidRPr="007D17C0">
        <w:rPr>
          <w:sz w:val="18"/>
          <w:szCs w:val="18"/>
        </w:rPr>
        <w:t xml:space="preserve">rising power of black voters. </w:t>
      </w:r>
      <w:r w:rsidR="00B64AD5" w:rsidRPr="007D17C0">
        <w:rPr>
          <w:sz w:val="18"/>
          <w:szCs w:val="18"/>
        </w:rPr>
        <w:t>More recently, t</w:t>
      </w:r>
      <w:r w:rsidRPr="007D17C0">
        <w:rPr>
          <w:sz w:val="18"/>
          <w:szCs w:val="18"/>
        </w:rPr>
        <w:t xml:space="preserve">he Republican Party also ran anti-fraud programs, but signed a consent decree in 1982 to cease them.  After </w:t>
      </w:r>
      <w:r w:rsidRPr="007D17C0">
        <w:rPr>
          <w:i/>
          <w:sz w:val="18"/>
          <w:szCs w:val="18"/>
        </w:rPr>
        <w:t>Bush v. Gore</w:t>
      </w:r>
      <w:r w:rsidRPr="007D17C0">
        <w:rPr>
          <w:sz w:val="18"/>
          <w:szCs w:val="18"/>
        </w:rPr>
        <w:t>, the</w:t>
      </w:r>
      <w:r w:rsidR="00B64AD5" w:rsidRPr="007D17C0">
        <w:rPr>
          <w:sz w:val="18"/>
          <w:szCs w:val="18"/>
        </w:rPr>
        <w:t xml:space="preserve"> party</w:t>
      </w:r>
      <w:r w:rsidRPr="007D17C0">
        <w:rPr>
          <w:sz w:val="18"/>
          <w:szCs w:val="18"/>
        </w:rPr>
        <w:t xml:space="preserve"> again became interested in the mechanics of elections </w:t>
      </w:r>
      <w:r w:rsidR="00B64AD5" w:rsidRPr="007D17C0">
        <w:rPr>
          <w:sz w:val="18"/>
          <w:szCs w:val="18"/>
        </w:rPr>
        <w:t xml:space="preserve">as a means of gaining </w:t>
      </w:r>
      <w:r w:rsidRPr="007D17C0">
        <w:rPr>
          <w:sz w:val="18"/>
          <w:szCs w:val="18"/>
        </w:rPr>
        <w:t>partisan advantage.  In 2008, the party asked a judge to abolish or amend the decree.  The judge denied the request.</w:t>
      </w:r>
    </w:p>
  </w:footnote>
  <w:footnote w:id="15">
    <w:p w:rsidR="00B72AF5" w:rsidRPr="007D17C0" w:rsidRDefault="00B72AF5">
      <w:pPr>
        <w:pStyle w:val="FootnoteText"/>
        <w:rPr>
          <w:sz w:val="18"/>
          <w:szCs w:val="18"/>
        </w:rPr>
      </w:pPr>
      <w:r w:rsidRPr="007D17C0">
        <w:rPr>
          <w:rStyle w:val="FootnoteReference"/>
          <w:sz w:val="18"/>
          <w:szCs w:val="18"/>
        </w:rPr>
        <w:footnoteRef/>
      </w:r>
      <w:r w:rsidRPr="007D17C0">
        <w:rPr>
          <w:sz w:val="18"/>
          <w:szCs w:val="18"/>
        </w:rPr>
        <w:t xml:space="preserve"> Some grantees would even join the True the Vote’s monthly calls, as listeners.</w:t>
      </w:r>
    </w:p>
  </w:footnote>
  <w:footnote w:id="16">
    <w:p w:rsidR="001807D5" w:rsidRPr="007D17C0" w:rsidRDefault="001807D5" w:rsidP="001807D5">
      <w:pPr>
        <w:pStyle w:val="FootnoteText"/>
        <w:rPr>
          <w:sz w:val="18"/>
          <w:szCs w:val="18"/>
        </w:rPr>
      </w:pPr>
      <w:r w:rsidRPr="007D17C0">
        <w:rPr>
          <w:rStyle w:val="FootnoteReference"/>
          <w:sz w:val="18"/>
          <w:szCs w:val="18"/>
        </w:rPr>
        <w:footnoteRef/>
      </w:r>
      <w:r w:rsidRPr="007D17C0">
        <w:rPr>
          <w:sz w:val="18"/>
          <w:szCs w:val="18"/>
        </w:rPr>
        <w:t xml:space="preserve"> </w:t>
      </w:r>
      <w:r w:rsidR="00001269" w:rsidRPr="007D17C0">
        <w:rPr>
          <w:i/>
          <w:sz w:val="18"/>
          <w:szCs w:val="18"/>
        </w:rPr>
        <w:t>See</w:t>
      </w:r>
      <w:r w:rsidR="00001269" w:rsidRPr="007D17C0">
        <w:rPr>
          <w:sz w:val="18"/>
          <w:szCs w:val="18"/>
        </w:rPr>
        <w:t xml:space="preserve"> </w:t>
      </w:r>
      <w:hyperlink r:id="rId7" w:history="1">
        <w:r w:rsidR="00001269" w:rsidRPr="007D17C0">
          <w:rPr>
            <w:rStyle w:val="Hyperlink"/>
            <w:sz w:val="18"/>
            <w:szCs w:val="18"/>
          </w:rPr>
          <w:t>Project Vote</w:t>
        </w:r>
      </w:hyperlink>
      <w:r w:rsidR="00001269" w:rsidRPr="007D17C0">
        <w:rPr>
          <w:sz w:val="18"/>
          <w:szCs w:val="18"/>
        </w:rPr>
        <w:t xml:space="preserve"> and </w:t>
      </w:r>
      <w:hyperlink r:id="rId8" w:history="1">
        <w:r w:rsidR="00001269" w:rsidRPr="007D17C0">
          <w:rPr>
            <w:rStyle w:val="Hyperlink"/>
            <w:sz w:val="18"/>
            <w:szCs w:val="18"/>
          </w:rPr>
          <w:t>Campaign Legal Center</w:t>
        </w:r>
      </w:hyperlink>
      <w:r w:rsidR="00001269" w:rsidRPr="007D17C0">
        <w:rPr>
          <w:sz w:val="18"/>
          <w:szCs w:val="18"/>
        </w:rPr>
        <w:t xml:space="preserve"> grants.</w:t>
      </w:r>
    </w:p>
  </w:footnote>
  <w:footnote w:id="17">
    <w:p w:rsidR="001807D5" w:rsidRPr="007D17C0" w:rsidRDefault="001807D5" w:rsidP="001807D5">
      <w:pPr>
        <w:pStyle w:val="FootnoteText"/>
        <w:rPr>
          <w:sz w:val="18"/>
          <w:szCs w:val="18"/>
        </w:rPr>
      </w:pPr>
      <w:r w:rsidRPr="007D17C0">
        <w:rPr>
          <w:rStyle w:val="FootnoteReference"/>
          <w:sz w:val="18"/>
          <w:szCs w:val="18"/>
        </w:rPr>
        <w:footnoteRef/>
      </w:r>
      <w:r w:rsidRPr="007D17C0">
        <w:rPr>
          <w:sz w:val="18"/>
          <w:szCs w:val="18"/>
        </w:rPr>
        <w:t xml:space="preserve"> </w:t>
      </w:r>
      <w:r w:rsidR="002232F6" w:rsidRPr="007D17C0">
        <w:rPr>
          <w:i/>
          <w:sz w:val="18"/>
          <w:szCs w:val="18"/>
        </w:rPr>
        <w:t>See</w:t>
      </w:r>
      <w:r w:rsidR="002232F6" w:rsidRPr="007D17C0">
        <w:rPr>
          <w:sz w:val="18"/>
          <w:szCs w:val="18"/>
        </w:rPr>
        <w:t xml:space="preserve"> grant to Common Cause (</w:t>
      </w:r>
      <w:r w:rsidR="004F425A" w:rsidRPr="007D17C0">
        <w:rPr>
          <w:sz w:val="18"/>
          <w:szCs w:val="18"/>
        </w:rPr>
        <w:t xml:space="preserve">with </w:t>
      </w:r>
      <w:r w:rsidR="002232F6" w:rsidRPr="007D17C0">
        <w:rPr>
          <w:sz w:val="18"/>
          <w:szCs w:val="18"/>
        </w:rPr>
        <w:t>re</w:t>
      </w:r>
      <w:r w:rsidR="004F425A" w:rsidRPr="007D17C0">
        <w:rPr>
          <w:sz w:val="18"/>
          <w:szCs w:val="18"/>
        </w:rPr>
        <w:t>-</w:t>
      </w:r>
      <w:r w:rsidR="002232F6" w:rsidRPr="007D17C0">
        <w:rPr>
          <w:sz w:val="18"/>
          <w:szCs w:val="18"/>
        </w:rPr>
        <w:t>grant to PICO)</w:t>
      </w:r>
      <w:r w:rsidR="004F425A" w:rsidRPr="007D17C0">
        <w:rPr>
          <w:sz w:val="18"/>
          <w:szCs w:val="18"/>
        </w:rPr>
        <w:t xml:space="preserve"> at</w:t>
      </w:r>
      <w:r w:rsidR="002232F6" w:rsidRPr="007D17C0">
        <w:rPr>
          <w:sz w:val="18"/>
          <w:szCs w:val="18"/>
        </w:rPr>
        <w:t xml:space="preserve"> </w:t>
      </w:r>
      <w:hyperlink r:id="rId9" w:history="1">
        <w:r w:rsidR="002232F6" w:rsidRPr="007D17C0">
          <w:rPr>
            <w:rStyle w:val="Hyperlink"/>
            <w:sz w:val="18"/>
            <w:szCs w:val="18"/>
          </w:rPr>
          <w:t>https://na14.salesforce.com/006d00000075Jt8</w:t>
        </w:r>
      </w:hyperlink>
      <w:r w:rsidR="002232F6" w:rsidRPr="007D17C0">
        <w:rPr>
          <w:i/>
          <w:sz w:val="18"/>
          <w:szCs w:val="18"/>
        </w:rPr>
        <w:t>.</w:t>
      </w:r>
    </w:p>
  </w:footnote>
  <w:footnote w:id="18">
    <w:p w:rsidR="00906BA9" w:rsidRPr="007D17C0" w:rsidRDefault="00906BA9">
      <w:pPr>
        <w:pStyle w:val="FootnoteText"/>
        <w:rPr>
          <w:sz w:val="18"/>
          <w:szCs w:val="18"/>
        </w:rPr>
      </w:pPr>
      <w:r w:rsidRPr="007D17C0">
        <w:rPr>
          <w:rStyle w:val="FootnoteReference"/>
          <w:sz w:val="18"/>
          <w:szCs w:val="18"/>
        </w:rPr>
        <w:footnoteRef/>
      </w:r>
      <w:r w:rsidRPr="007D17C0">
        <w:rPr>
          <w:sz w:val="18"/>
          <w:szCs w:val="18"/>
        </w:rPr>
        <w:t xml:space="preserve"> </w:t>
      </w:r>
      <w:r w:rsidR="008E5EBD" w:rsidRPr="007D17C0">
        <w:rPr>
          <w:i/>
          <w:sz w:val="18"/>
          <w:szCs w:val="18"/>
        </w:rPr>
        <w:t>See</w:t>
      </w:r>
      <w:r w:rsidR="008E5EBD" w:rsidRPr="007D17C0">
        <w:rPr>
          <w:sz w:val="18"/>
          <w:szCs w:val="18"/>
        </w:rPr>
        <w:t xml:space="preserve"> </w:t>
      </w:r>
      <w:hyperlink r:id="rId10" w:history="1">
        <w:r w:rsidR="008E5EBD" w:rsidRPr="007D17C0">
          <w:rPr>
            <w:rStyle w:val="Hyperlink"/>
            <w:sz w:val="18"/>
            <w:szCs w:val="18"/>
          </w:rPr>
          <w:t>https://na14.salesforce.com/006d00000075JM0</w:t>
        </w:r>
      </w:hyperlink>
      <w:r w:rsidR="008E5EBD" w:rsidRPr="007D17C0">
        <w:rPr>
          <w:rStyle w:val="Hyperlink"/>
          <w:sz w:val="18"/>
          <w:szCs w:val="18"/>
        </w:rPr>
        <w:t xml:space="preserve">. </w:t>
      </w:r>
      <w:r w:rsidRPr="007D17C0">
        <w:rPr>
          <w:sz w:val="18"/>
          <w:szCs w:val="18"/>
        </w:rPr>
        <w:t>Election Protection data</w:t>
      </w:r>
      <w:r w:rsidR="00BC7A05" w:rsidRPr="007D17C0">
        <w:rPr>
          <w:sz w:val="18"/>
          <w:szCs w:val="18"/>
        </w:rPr>
        <w:t>,</w:t>
      </w:r>
      <w:r w:rsidRPr="007D17C0">
        <w:rPr>
          <w:sz w:val="18"/>
          <w:szCs w:val="18"/>
        </w:rPr>
        <w:t xml:space="preserve"> and </w:t>
      </w:r>
      <w:r w:rsidR="00BC7A05" w:rsidRPr="007D17C0">
        <w:rPr>
          <w:sz w:val="18"/>
          <w:szCs w:val="18"/>
        </w:rPr>
        <w:t xml:space="preserve">its </w:t>
      </w:r>
      <w:r w:rsidRPr="007D17C0">
        <w:rPr>
          <w:sz w:val="18"/>
          <w:szCs w:val="18"/>
        </w:rPr>
        <w:t xml:space="preserve">recommendations based </w:t>
      </w:r>
      <w:r w:rsidR="00BC7A05" w:rsidRPr="007D17C0">
        <w:rPr>
          <w:sz w:val="18"/>
          <w:szCs w:val="18"/>
        </w:rPr>
        <w:t>on that data,</w:t>
      </w:r>
      <w:r w:rsidRPr="007D17C0">
        <w:rPr>
          <w:sz w:val="18"/>
          <w:szCs w:val="18"/>
        </w:rPr>
        <w:t xml:space="preserve"> has been used to inform the recently concluded Presidential Commission on Election Administration’s findings, among other uses.  </w:t>
      </w:r>
    </w:p>
  </w:footnote>
  <w:footnote w:id="19">
    <w:p w:rsidR="002B390C" w:rsidRPr="007D17C0" w:rsidRDefault="002B390C">
      <w:pPr>
        <w:pStyle w:val="FootnoteText"/>
        <w:rPr>
          <w:sz w:val="18"/>
          <w:szCs w:val="18"/>
        </w:rPr>
      </w:pPr>
      <w:r w:rsidRPr="007D17C0">
        <w:rPr>
          <w:rStyle w:val="FootnoteReference"/>
          <w:sz w:val="18"/>
          <w:szCs w:val="18"/>
        </w:rPr>
        <w:footnoteRef/>
      </w:r>
      <w:r w:rsidRPr="007D17C0">
        <w:rPr>
          <w:sz w:val="18"/>
          <w:szCs w:val="18"/>
        </w:rPr>
        <w:t xml:space="preserve"> </w:t>
      </w:r>
      <w:r w:rsidR="00CF51A4" w:rsidRPr="007D17C0">
        <w:rPr>
          <w:sz w:val="18"/>
          <w:szCs w:val="18"/>
        </w:rPr>
        <w:t>Upwell, Project Upvote, pp. 45</w:t>
      </w:r>
      <w:r w:rsidR="000F13A3" w:rsidRPr="007D17C0">
        <w:rPr>
          <w:sz w:val="18"/>
          <w:szCs w:val="18"/>
        </w:rPr>
        <w:t xml:space="preserve"> (organization funded by Jonathan Soros to map social media conversation on, inter alia, voting rights)</w:t>
      </w:r>
      <w:r w:rsidRPr="007D17C0">
        <w:rPr>
          <w:sz w:val="18"/>
          <w:szCs w:val="18"/>
        </w:rPr>
        <w:t>.</w:t>
      </w:r>
    </w:p>
  </w:footnote>
  <w:footnote w:id="20">
    <w:p w:rsidR="00906BA9" w:rsidRPr="00E5539D" w:rsidRDefault="00906BA9">
      <w:pPr>
        <w:pStyle w:val="FootnoteText"/>
      </w:pPr>
      <w:r w:rsidRPr="007D17C0">
        <w:rPr>
          <w:rStyle w:val="FootnoteReference"/>
          <w:sz w:val="18"/>
          <w:szCs w:val="18"/>
        </w:rPr>
        <w:footnoteRef/>
      </w:r>
      <w:r w:rsidRPr="007D17C0">
        <w:rPr>
          <w:sz w:val="18"/>
          <w:szCs w:val="18"/>
        </w:rPr>
        <w:t xml:space="preserve"> </w:t>
      </w:r>
      <w:r w:rsidR="00B97A00" w:rsidRPr="007D17C0">
        <w:rPr>
          <w:i/>
          <w:sz w:val="18"/>
          <w:szCs w:val="18"/>
        </w:rPr>
        <w:t xml:space="preserve">See </w:t>
      </w:r>
      <w:r w:rsidR="00CA6518" w:rsidRPr="00CA6518">
        <w:rPr>
          <w:sz w:val="18"/>
          <w:szCs w:val="18"/>
        </w:rPr>
        <w:t xml:space="preserve">Brendan </w:t>
      </w:r>
      <w:proofErr w:type="spellStart"/>
      <w:r w:rsidR="00CA6518" w:rsidRPr="00CA6518">
        <w:rPr>
          <w:sz w:val="18"/>
          <w:szCs w:val="18"/>
        </w:rPr>
        <w:t>Nyhan</w:t>
      </w:r>
      <w:proofErr w:type="spellEnd"/>
      <w:r w:rsidR="00CA6518" w:rsidRPr="00CA6518">
        <w:rPr>
          <w:sz w:val="18"/>
          <w:szCs w:val="18"/>
        </w:rPr>
        <w:t xml:space="preserve">, </w:t>
      </w:r>
      <w:r w:rsidR="00CA6518">
        <w:rPr>
          <w:i/>
          <w:sz w:val="18"/>
          <w:szCs w:val="18"/>
        </w:rPr>
        <w:t>Voter Fraud is Rare but Myth is Widespread, New York Times</w:t>
      </w:r>
      <w:r w:rsidR="007814C2">
        <w:rPr>
          <w:i/>
          <w:sz w:val="18"/>
          <w:szCs w:val="18"/>
        </w:rPr>
        <w:t xml:space="preserve"> (6/10/</w:t>
      </w:r>
      <w:r w:rsidR="00CA6518">
        <w:rPr>
          <w:i/>
          <w:sz w:val="18"/>
          <w:szCs w:val="18"/>
        </w:rPr>
        <w:t>2014</w:t>
      </w:r>
      <w:r w:rsidR="007814C2">
        <w:rPr>
          <w:i/>
          <w:sz w:val="18"/>
          <w:szCs w:val="18"/>
        </w:rPr>
        <w:t>)</w:t>
      </w:r>
      <w:r w:rsidR="00CA6518">
        <w:rPr>
          <w:i/>
          <w:sz w:val="18"/>
          <w:szCs w:val="18"/>
        </w:rPr>
        <w:t xml:space="preserve">, accessible at: </w:t>
      </w:r>
      <w:hyperlink r:id="rId11" w:history="1">
        <w:r w:rsidR="00B97A00" w:rsidRPr="007D17C0">
          <w:rPr>
            <w:rStyle w:val="Hyperlink"/>
            <w:i/>
            <w:sz w:val="18"/>
            <w:szCs w:val="18"/>
          </w:rPr>
          <w:t>http://www.nytimes.com/2014/06/11/upshot/vote-fraud-is-rare-but-myth-is-widespread.html?_r=0&amp;abt=0002&amp;abg=0</w:t>
        </w:r>
      </w:hyperlink>
      <w:r w:rsidR="00B97A00" w:rsidRPr="007D17C0">
        <w:rPr>
          <w:i/>
          <w:sz w:val="18"/>
          <w:szCs w:val="18"/>
        </w:rPr>
        <w:t xml:space="preserve">. </w:t>
      </w:r>
      <w:r w:rsidR="00B97A00" w:rsidRPr="007D17C0">
        <w:rPr>
          <w:sz w:val="18"/>
          <w:szCs w:val="18"/>
        </w:rPr>
        <w:t>Texas, for example, identified 2 voters in 10 years, a time when roughly 20 million ballots were cast.</w:t>
      </w:r>
      <w:r w:rsidR="00B97A00" w:rsidRPr="00E5539D">
        <w:t xml:space="preserve"> </w:t>
      </w:r>
      <w:r w:rsidRPr="00E5539D">
        <w:t xml:space="preserve"> </w:t>
      </w:r>
    </w:p>
  </w:footnote>
  <w:footnote w:id="21">
    <w:p w:rsidR="00906BA9" w:rsidRPr="00B208E6" w:rsidRDefault="00906BA9" w:rsidP="00B208E6">
      <w:pPr>
        <w:spacing w:line="240" w:lineRule="auto"/>
        <w:rPr>
          <w:sz w:val="18"/>
          <w:szCs w:val="18"/>
        </w:rPr>
      </w:pPr>
      <w:r w:rsidRPr="00E5539D">
        <w:rPr>
          <w:rStyle w:val="FootnoteReference"/>
        </w:rPr>
        <w:footnoteRef/>
      </w:r>
      <w:r w:rsidR="002049CE">
        <w:rPr>
          <w:sz w:val="18"/>
          <w:szCs w:val="18"/>
        </w:rPr>
        <w:t xml:space="preserve"> </w:t>
      </w:r>
      <w:r w:rsidRPr="00B208E6">
        <w:rPr>
          <w:sz w:val="18"/>
          <w:szCs w:val="18"/>
        </w:rPr>
        <w:t>Through a</w:t>
      </w:r>
      <w:r w:rsidR="00DB4598" w:rsidRPr="00B208E6">
        <w:rPr>
          <w:sz w:val="18"/>
          <w:szCs w:val="18"/>
        </w:rPr>
        <w:t>n additional,</w:t>
      </w:r>
      <w:r w:rsidRPr="00B208E6">
        <w:rPr>
          <w:sz w:val="18"/>
          <w:szCs w:val="18"/>
        </w:rPr>
        <w:t xml:space="preserve"> </w:t>
      </w:r>
      <w:r w:rsidR="00DB4598" w:rsidRPr="00B208E6">
        <w:rPr>
          <w:sz w:val="18"/>
          <w:szCs w:val="18"/>
        </w:rPr>
        <w:t>$200,000</w:t>
      </w:r>
      <w:r w:rsidRPr="00B208E6">
        <w:rPr>
          <w:sz w:val="18"/>
          <w:szCs w:val="18"/>
        </w:rPr>
        <w:t xml:space="preserve"> grant to New America Media, we extended the reach of this research and messaging to ethnic media</w:t>
      </w:r>
      <w:r w:rsidR="00DB4598" w:rsidRPr="00B208E6">
        <w:rPr>
          <w:sz w:val="18"/>
          <w:szCs w:val="18"/>
        </w:rPr>
        <w:t xml:space="preserve">, which has led to continued collaboration with the voting </w:t>
      </w:r>
      <w:r w:rsidR="002A3732" w:rsidRPr="00B208E6">
        <w:rPr>
          <w:sz w:val="18"/>
          <w:szCs w:val="18"/>
        </w:rPr>
        <w:t xml:space="preserve">rights </w:t>
      </w:r>
      <w:r w:rsidR="00DB4598" w:rsidRPr="00B208E6">
        <w:rPr>
          <w:sz w:val="18"/>
          <w:szCs w:val="18"/>
        </w:rPr>
        <w:t>field</w:t>
      </w:r>
      <w:r w:rsidR="001D7095" w:rsidRPr="00B208E6">
        <w:rPr>
          <w:sz w:val="18"/>
          <w:szCs w:val="18"/>
        </w:rPr>
        <w:t xml:space="preserve"> (they partnered similarly on the </w:t>
      </w:r>
      <w:r w:rsidR="001D7095" w:rsidRPr="00B208E6">
        <w:rPr>
          <w:i/>
          <w:sz w:val="18"/>
          <w:szCs w:val="18"/>
        </w:rPr>
        <w:t xml:space="preserve">Shelby </w:t>
      </w:r>
      <w:r w:rsidR="001D7095" w:rsidRPr="00B208E6">
        <w:rPr>
          <w:sz w:val="18"/>
          <w:szCs w:val="18"/>
        </w:rPr>
        <w:t>decision)</w:t>
      </w:r>
      <w:r w:rsidRPr="00B208E6">
        <w:rPr>
          <w:sz w:val="18"/>
          <w:szCs w:val="18"/>
        </w:rPr>
        <w:t>.</w:t>
      </w:r>
    </w:p>
  </w:footnote>
  <w:footnote w:id="22">
    <w:p w:rsidR="00906BA9" w:rsidRPr="007D17C0" w:rsidRDefault="00906BA9" w:rsidP="007D17C0">
      <w:pPr>
        <w:pStyle w:val="NoSpacing"/>
        <w:rPr>
          <w:sz w:val="18"/>
          <w:szCs w:val="18"/>
        </w:rPr>
      </w:pPr>
      <w:r w:rsidRPr="007D17C0">
        <w:rPr>
          <w:rStyle w:val="FootnoteReference"/>
          <w:sz w:val="18"/>
          <w:szCs w:val="18"/>
        </w:rPr>
        <w:footnoteRef/>
      </w:r>
      <w:r w:rsidRPr="007D17C0">
        <w:rPr>
          <w:sz w:val="18"/>
          <w:szCs w:val="18"/>
        </w:rPr>
        <w:t xml:space="preserve"> </w:t>
      </w:r>
      <w:r w:rsidR="001A6A02" w:rsidRPr="007D17C0">
        <w:rPr>
          <w:i/>
          <w:sz w:val="18"/>
          <w:szCs w:val="18"/>
        </w:rPr>
        <w:t>See</w:t>
      </w:r>
      <w:r w:rsidR="001A6A02" w:rsidRPr="007D17C0">
        <w:rPr>
          <w:sz w:val="18"/>
          <w:szCs w:val="18"/>
        </w:rPr>
        <w:t xml:space="preserve"> </w:t>
      </w:r>
      <w:hyperlink r:id="rId12" w:history="1">
        <w:r w:rsidR="001A6A02" w:rsidRPr="007D17C0">
          <w:rPr>
            <w:rStyle w:val="Hyperlink"/>
            <w:sz w:val="18"/>
            <w:szCs w:val="18"/>
          </w:rPr>
          <w:t>Freedman analysis</w:t>
        </w:r>
      </w:hyperlink>
      <w:r w:rsidR="001A6A02" w:rsidRPr="007D17C0">
        <w:rPr>
          <w:sz w:val="18"/>
          <w:szCs w:val="18"/>
        </w:rPr>
        <w:t xml:space="preserve">, executive summary, at pp. 5-8 </w:t>
      </w:r>
      <w:r w:rsidR="00224A61" w:rsidRPr="007D17C0">
        <w:rPr>
          <w:sz w:val="18"/>
          <w:szCs w:val="18"/>
        </w:rPr>
        <w:t>(</w:t>
      </w:r>
      <w:r w:rsidR="00A82313" w:rsidRPr="007D17C0">
        <w:rPr>
          <w:sz w:val="18"/>
          <w:szCs w:val="18"/>
        </w:rPr>
        <w:t xml:space="preserve">noting as </w:t>
      </w:r>
      <w:r w:rsidR="00224A61" w:rsidRPr="007D17C0">
        <w:rPr>
          <w:sz w:val="18"/>
          <w:szCs w:val="18"/>
        </w:rPr>
        <w:t xml:space="preserve">key </w:t>
      </w:r>
      <w:r w:rsidR="00224A61" w:rsidRPr="007D17C0">
        <w:rPr>
          <w:rFonts w:cs="Times New Roman"/>
          <w:sz w:val="18"/>
          <w:szCs w:val="18"/>
        </w:rPr>
        <w:t>findings</w:t>
      </w:r>
      <w:r w:rsidR="00A82313" w:rsidRPr="007D17C0">
        <w:rPr>
          <w:rFonts w:cs="Times New Roman"/>
          <w:sz w:val="18"/>
          <w:szCs w:val="18"/>
        </w:rPr>
        <w:t>: (1)</w:t>
      </w:r>
      <w:r w:rsidR="00224A61" w:rsidRPr="007D17C0">
        <w:rPr>
          <w:sz w:val="18"/>
          <w:szCs w:val="18"/>
        </w:rPr>
        <w:t xml:space="preserve"> the investment correlat</w:t>
      </w:r>
      <w:r w:rsidR="00081843" w:rsidRPr="007D17C0">
        <w:rPr>
          <w:sz w:val="18"/>
          <w:szCs w:val="18"/>
        </w:rPr>
        <w:t xml:space="preserve">ed with total coverage volume; </w:t>
      </w:r>
      <w:r w:rsidR="00A82313" w:rsidRPr="007D17C0">
        <w:rPr>
          <w:sz w:val="18"/>
          <w:szCs w:val="18"/>
        </w:rPr>
        <w:t xml:space="preserve">(2) the </w:t>
      </w:r>
      <w:r w:rsidR="00224A61" w:rsidRPr="007D17C0">
        <w:rPr>
          <w:sz w:val="18"/>
          <w:szCs w:val="18"/>
        </w:rPr>
        <w:t xml:space="preserve">“anti-restriction side” dominated airspace; </w:t>
      </w:r>
      <w:r w:rsidR="00A82313" w:rsidRPr="007D17C0">
        <w:rPr>
          <w:sz w:val="18"/>
          <w:szCs w:val="18"/>
        </w:rPr>
        <w:t xml:space="preserve">(3) </w:t>
      </w:r>
      <w:r w:rsidR="00224A61" w:rsidRPr="007D17C0">
        <w:rPr>
          <w:sz w:val="18"/>
          <w:szCs w:val="18"/>
        </w:rPr>
        <w:t>despite prior research suggesting refraining from them, “suppression” messages were dominant</w:t>
      </w:r>
      <w:r w:rsidR="00A82313" w:rsidRPr="007D17C0">
        <w:rPr>
          <w:sz w:val="18"/>
          <w:szCs w:val="18"/>
        </w:rPr>
        <w:t xml:space="preserve">, and increased over time; and (4) </w:t>
      </w:r>
      <w:r w:rsidR="00224A61" w:rsidRPr="007D17C0">
        <w:rPr>
          <w:sz w:val="18"/>
          <w:szCs w:val="18"/>
        </w:rPr>
        <w:t>values-based messages, which research supported as most persuasive to voters, appeared relatively rarely in the national conversations).</w:t>
      </w:r>
    </w:p>
  </w:footnote>
  <w:footnote w:id="23">
    <w:p w:rsidR="00AB6216" w:rsidRPr="007D17C0" w:rsidRDefault="00AB6216" w:rsidP="007D17C0">
      <w:pPr>
        <w:pStyle w:val="NoSpacing"/>
        <w:rPr>
          <w:sz w:val="18"/>
          <w:szCs w:val="18"/>
        </w:rPr>
      </w:pPr>
      <w:r w:rsidRPr="007D17C0">
        <w:rPr>
          <w:rStyle w:val="FootnoteReference"/>
          <w:sz w:val="18"/>
          <w:szCs w:val="18"/>
        </w:rPr>
        <w:footnoteRef/>
      </w:r>
      <w:r w:rsidRPr="007D17C0">
        <w:rPr>
          <w:sz w:val="18"/>
          <w:szCs w:val="18"/>
        </w:rPr>
        <w:t xml:space="preserve"> </w:t>
      </w:r>
      <w:r w:rsidR="002A6433" w:rsidRPr="007D17C0">
        <w:rPr>
          <w:sz w:val="18"/>
          <w:szCs w:val="18"/>
        </w:rPr>
        <w:t>We note here</w:t>
      </w:r>
      <w:r w:rsidRPr="007D17C0">
        <w:rPr>
          <w:sz w:val="18"/>
          <w:szCs w:val="18"/>
        </w:rPr>
        <w:t xml:space="preserve"> </w:t>
      </w:r>
      <w:r w:rsidRPr="007D17C0">
        <w:rPr>
          <w:rFonts w:cs="Calibri"/>
          <w:color w:val="000000"/>
          <w:sz w:val="18"/>
          <w:szCs w:val="18"/>
        </w:rPr>
        <w:t>the U</w:t>
      </w:r>
      <w:r w:rsidR="002049CE">
        <w:rPr>
          <w:rFonts w:cs="Calibri"/>
          <w:color w:val="000000"/>
          <w:sz w:val="18"/>
          <w:szCs w:val="18"/>
        </w:rPr>
        <w:t>.</w:t>
      </w:r>
      <w:r w:rsidRPr="007D17C0">
        <w:rPr>
          <w:rFonts w:cs="Calibri"/>
          <w:color w:val="000000"/>
          <w:sz w:val="18"/>
          <w:szCs w:val="18"/>
        </w:rPr>
        <w:t>S</w:t>
      </w:r>
      <w:r w:rsidR="002049CE">
        <w:rPr>
          <w:rFonts w:cs="Calibri"/>
          <w:color w:val="000000"/>
          <w:sz w:val="18"/>
          <w:szCs w:val="18"/>
        </w:rPr>
        <w:t>.</w:t>
      </w:r>
      <w:r w:rsidRPr="007D17C0">
        <w:rPr>
          <w:rFonts w:cs="Calibri"/>
          <w:color w:val="000000"/>
          <w:sz w:val="18"/>
          <w:szCs w:val="18"/>
        </w:rPr>
        <w:t xml:space="preserve"> Programs Board’s decision in 2012 to substantially cut the budget for grassroots constituency </w:t>
      </w:r>
      <w:r w:rsidRPr="007D17C0">
        <w:rPr>
          <w:sz w:val="18"/>
          <w:szCs w:val="18"/>
        </w:rPr>
        <w:t>building, leadership development efforts, and direct voter contact, including voter registration and mobilization efforts</w:t>
      </w:r>
      <w:r w:rsidRPr="007D17C0">
        <w:rPr>
          <w:rFonts w:cs="Calibri"/>
          <w:sz w:val="18"/>
          <w:szCs w:val="18"/>
        </w:rPr>
        <w:t xml:space="preserve">. </w:t>
      </w:r>
    </w:p>
  </w:footnote>
  <w:footnote w:id="24">
    <w:p w:rsidR="00BC372B" w:rsidRPr="007D17C0" w:rsidRDefault="00BC372B" w:rsidP="007D17C0">
      <w:pPr>
        <w:pStyle w:val="NoSpacing"/>
        <w:rPr>
          <w:rFonts w:eastAsia="Arial Unicode MS" w:cs="Arial Unicode MS"/>
          <w:color w:val="000000"/>
          <w:sz w:val="18"/>
          <w:szCs w:val="18"/>
        </w:rPr>
      </w:pPr>
      <w:r w:rsidRPr="007D17C0">
        <w:rPr>
          <w:rStyle w:val="FootnoteReference"/>
          <w:sz w:val="18"/>
          <w:szCs w:val="18"/>
        </w:rPr>
        <w:footnoteRef/>
      </w:r>
      <w:r w:rsidRPr="007D17C0">
        <w:rPr>
          <w:sz w:val="18"/>
          <w:szCs w:val="18"/>
        </w:rPr>
        <w:t xml:space="preserve"> </w:t>
      </w:r>
      <w:r w:rsidRPr="007D17C0">
        <w:rPr>
          <w:i/>
          <w:sz w:val="18"/>
          <w:szCs w:val="18"/>
        </w:rPr>
        <w:t>See</w:t>
      </w:r>
      <w:r w:rsidRPr="007D17C0">
        <w:rPr>
          <w:sz w:val="18"/>
          <w:szCs w:val="18"/>
        </w:rPr>
        <w:t xml:space="preserve"> American Political Science Association study, </w:t>
      </w:r>
      <w:r w:rsidR="002049CE">
        <w:rPr>
          <w:sz w:val="18"/>
          <w:szCs w:val="18"/>
        </w:rPr>
        <w:t xml:space="preserve">accessible </w:t>
      </w:r>
      <w:r w:rsidRPr="007D17C0">
        <w:rPr>
          <w:sz w:val="18"/>
          <w:szCs w:val="18"/>
        </w:rPr>
        <w:t xml:space="preserve">at: </w:t>
      </w:r>
      <w:hyperlink r:id="rId13" w:history="1">
        <w:r w:rsidRPr="007D17C0">
          <w:rPr>
            <w:rStyle w:val="Hyperlink"/>
            <w:sz w:val="18"/>
            <w:szCs w:val="18"/>
          </w:rPr>
          <w:t>http://journals.cambridge.org/action/displayAbstract?aid=9122051</w:t>
        </w:r>
      </w:hyperlink>
      <w:r w:rsidR="002049CE">
        <w:rPr>
          <w:rStyle w:val="Hyperlink"/>
          <w:sz w:val="18"/>
          <w:szCs w:val="18"/>
        </w:rPr>
        <w:t xml:space="preserve">, </w:t>
      </w:r>
      <w:r w:rsidR="002049CE" w:rsidRPr="007D17C0">
        <w:rPr>
          <w:sz w:val="18"/>
          <w:szCs w:val="18"/>
        </w:rPr>
        <w:t>finding that states where more minorities turn out to vote are more likely to pass vote-suppressing laws</w:t>
      </w:r>
      <w:r w:rsidRPr="007D17C0">
        <w:rPr>
          <w:sz w:val="18"/>
          <w:szCs w:val="18"/>
        </w:rPr>
        <w:t xml:space="preserve"> </w:t>
      </w:r>
      <w:r w:rsidRPr="002049CE">
        <w:rPr>
          <w:sz w:val="18"/>
          <w:szCs w:val="18"/>
        </w:rPr>
        <w:t>(</w:t>
      </w:r>
      <w:r w:rsidR="00494F63">
        <w:rPr>
          <w:sz w:val="18"/>
          <w:szCs w:val="18"/>
        </w:rPr>
        <w:t xml:space="preserve">Keith </w:t>
      </w:r>
      <w:proofErr w:type="spellStart"/>
      <w:r w:rsidR="00494F63">
        <w:rPr>
          <w:sz w:val="18"/>
          <w:szCs w:val="18"/>
        </w:rPr>
        <w:t>Bentele</w:t>
      </w:r>
      <w:proofErr w:type="spellEnd"/>
      <w:r w:rsidR="00494F63">
        <w:rPr>
          <w:sz w:val="18"/>
          <w:szCs w:val="18"/>
        </w:rPr>
        <w:t xml:space="preserve"> &amp; Erin O’Brien, </w:t>
      </w:r>
      <w:hyperlink r:id="rId14" w:history="1">
        <w:r w:rsidRPr="002049CE">
          <w:rPr>
            <w:rStyle w:val="Hyperlink"/>
            <w:rFonts w:eastAsia="Arial Unicode MS" w:cs="Arial Unicode MS"/>
            <w:sz w:val="18"/>
            <w:szCs w:val="18"/>
            <w:bdr w:val="none" w:sz="0" w:space="0" w:color="auto" w:frame="1"/>
          </w:rPr>
          <w:t>Perspectives on Politics</w:t>
        </w:r>
      </w:hyperlink>
      <w:r w:rsidR="00494F63">
        <w:rPr>
          <w:rStyle w:val="Hyperlink"/>
          <w:rFonts w:eastAsia="Arial Unicode MS" w:cs="Arial Unicode MS"/>
          <w:sz w:val="18"/>
          <w:szCs w:val="18"/>
          <w:bdr w:val="none" w:sz="0" w:space="0" w:color="auto" w:frame="1"/>
        </w:rPr>
        <w:t xml:space="preserve">, </w:t>
      </w:r>
      <w:r w:rsidRPr="002049CE">
        <w:rPr>
          <w:rFonts w:eastAsia="Arial Unicode MS" w:cs="Arial Unicode MS"/>
          <w:color w:val="000000"/>
          <w:sz w:val="18"/>
          <w:szCs w:val="18"/>
        </w:rPr>
        <w:t xml:space="preserve"> </w:t>
      </w:r>
      <w:r w:rsidRPr="007D17C0">
        <w:rPr>
          <w:rFonts w:eastAsia="Arial Unicode MS" w:cs="Arial Unicode MS"/>
          <w:color w:val="000000"/>
          <w:sz w:val="18"/>
          <w:szCs w:val="18"/>
        </w:rPr>
        <w:t>Vol</w:t>
      </w:r>
      <w:r w:rsidR="00494F63">
        <w:rPr>
          <w:rFonts w:eastAsia="Arial Unicode MS" w:cs="Arial Unicode MS"/>
          <w:color w:val="000000"/>
          <w:sz w:val="18"/>
          <w:szCs w:val="18"/>
        </w:rPr>
        <w:t>.</w:t>
      </w:r>
      <w:r w:rsidRPr="007D17C0">
        <w:rPr>
          <w:rFonts w:eastAsia="Arial Unicode MS" w:cs="Arial Unicode MS"/>
          <w:color w:val="000000"/>
          <w:sz w:val="18"/>
          <w:szCs w:val="18"/>
        </w:rPr>
        <w:t xml:space="preserve"> 11</w:t>
      </w:r>
      <w:r w:rsidR="00494F63">
        <w:rPr>
          <w:rFonts w:eastAsia="Arial Unicode MS" w:cs="Arial Unicode MS"/>
          <w:color w:val="000000"/>
          <w:sz w:val="18"/>
          <w:szCs w:val="18"/>
        </w:rPr>
        <w:t xml:space="preserve">, </w:t>
      </w:r>
      <w:r w:rsidRPr="007D17C0">
        <w:rPr>
          <w:rFonts w:eastAsia="Arial Unicode MS" w:cs="Arial Unicode MS"/>
          <w:color w:val="000000"/>
          <w:sz w:val="18"/>
          <w:szCs w:val="18"/>
        </w:rPr>
        <w:t xml:space="preserve"> Issue 04 </w:t>
      </w:r>
      <w:r w:rsidR="00494F63">
        <w:rPr>
          <w:rFonts w:eastAsia="Arial Unicode MS" w:cs="Arial Unicode MS"/>
          <w:color w:val="000000"/>
          <w:sz w:val="18"/>
          <w:szCs w:val="18"/>
        </w:rPr>
        <w:t>(</w:t>
      </w:r>
      <w:r w:rsidRPr="007D17C0">
        <w:rPr>
          <w:rFonts w:eastAsia="Arial Unicode MS" w:cs="Arial Unicode MS"/>
          <w:color w:val="000000"/>
          <w:sz w:val="18"/>
          <w:szCs w:val="18"/>
        </w:rPr>
        <w:t>December 2013</w:t>
      </w:r>
      <w:r w:rsidR="00494F63">
        <w:rPr>
          <w:rFonts w:eastAsia="Arial Unicode MS" w:cs="Arial Unicode MS"/>
          <w:color w:val="000000"/>
          <w:sz w:val="18"/>
          <w:szCs w:val="18"/>
        </w:rPr>
        <w:t xml:space="preserve">) at </w:t>
      </w:r>
      <w:r w:rsidRPr="007D17C0">
        <w:rPr>
          <w:rFonts w:eastAsia="Arial Unicode MS" w:cs="Arial Unicode MS"/>
          <w:color w:val="000000"/>
          <w:sz w:val="18"/>
          <w:szCs w:val="18"/>
        </w:rPr>
        <w:t>pp 1088-1116)</w:t>
      </w:r>
      <w:r w:rsidR="002049CE">
        <w:rPr>
          <w:rFonts w:eastAsia="Arial Unicode MS" w:cs="Arial Unicode MS"/>
          <w:color w:val="000000"/>
          <w:sz w:val="18"/>
          <w:szCs w:val="18"/>
        </w:rPr>
        <w:t>.</w:t>
      </w:r>
    </w:p>
  </w:footnote>
  <w:footnote w:id="25">
    <w:p w:rsidR="00EE70B3" w:rsidRPr="007D17C0" w:rsidRDefault="00EE70B3" w:rsidP="007D17C0">
      <w:pPr>
        <w:pStyle w:val="NoSpacing"/>
        <w:rPr>
          <w:sz w:val="18"/>
          <w:szCs w:val="18"/>
        </w:rPr>
      </w:pPr>
      <w:r w:rsidRPr="007D17C0">
        <w:rPr>
          <w:rStyle w:val="FootnoteReference"/>
          <w:sz w:val="18"/>
          <w:szCs w:val="18"/>
        </w:rPr>
        <w:footnoteRef/>
      </w:r>
      <w:r w:rsidRPr="007D17C0">
        <w:rPr>
          <w:sz w:val="18"/>
          <w:szCs w:val="18"/>
        </w:rPr>
        <w:t xml:space="preserve"> The anti-fraud intransigence, with its imperviousness to fact, should also have triggered our analysis of acceptable ID regimes, something we will engage in next year. (We did discuss it, but resisted moving forward because it is a highly controversial proposition with some civil rights groups unwilling to even entertain such discussion.)</w:t>
      </w:r>
    </w:p>
  </w:footnote>
  <w:footnote w:id="26">
    <w:p w:rsidR="00C55AD6" w:rsidRDefault="00C55AD6" w:rsidP="007D17C0">
      <w:pPr>
        <w:pStyle w:val="NoSpacing"/>
      </w:pPr>
      <w:r w:rsidRPr="007D17C0">
        <w:rPr>
          <w:rStyle w:val="FootnoteReference"/>
          <w:sz w:val="18"/>
          <w:szCs w:val="18"/>
        </w:rPr>
        <w:footnoteRef/>
      </w:r>
      <w:r w:rsidRPr="007D17C0">
        <w:rPr>
          <w:sz w:val="18"/>
          <w:szCs w:val="18"/>
        </w:rPr>
        <w:t xml:space="preserve"> In Pennsylvania, </w:t>
      </w:r>
      <w:r w:rsidRPr="007D17C0">
        <w:rPr>
          <w:sz w:val="18"/>
          <w:szCs w:val="18"/>
          <w:lang w:val="en"/>
        </w:rPr>
        <w:t xml:space="preserve">state House Republican leader Mike Turzai promised a crowd that the state’s </w:t>
      </w:r>
      <w:hyperlink r:id="rId15" w:tgtFrame="_blank" w:history="1">
        <w:r w:rsidRPr="007D17C0">
          <w:rPr>
            <w:rStyle w:val="Hyperlink"/>
            <w:sz w:val="18"/>
            <w:szCs w:val="18"/>
            <w:lang w:val="en"/>
          </w:rPr>
          <w:t>new voter</w:t>
        </w:r>
      </w:hyperlink>
      <w:hyperlink r:id="rId16" w:tgtFrame="_blank" w:history="1">
        <w:r w:rsidRPr="007D17C0">
          <w:rPr>
            <w:rStyle w:val="Hyperlink"/>
            <w:sz w:val="18"/>
            <w:szCs w:val="18"/>
            <w:lang w:val="en"/>
          </w:rPr>
          <w:t xml:space="preserve"> ID law</w:t>
        </w:r>
      </w:hyperlink>
      <w:r w:rsidRPr="007D17C0">
        <w:rPr>
          <w:sz w:val="18"/>
          <w:szCs w:val="18"/>
          <w:lang w:val="en"/>
        </w:rPr>
        <w:t xml:space="preserve"> will “allow Governor Romney to win the state of Pennsylvania” in November. </w:t>
      </w:r>
      <w:r w:rsidRPr="007D17C0">
        <w:rPr>
          <w:sz w:val="18"/>
          <w:szCs w:val="18"/>
        </w:rPr>
        <w:t>In September 2012, Wisconsin officials put a gag order on the DMV workers who might tell voters about free voter IDs, even firing one worker.</w:t>
      </w:r>
    </w:p>
  </w:footnote>
  <w:footnote w:id="27">
    <w:p w:rsidR="008974B7" w:rsidRDefault="008974B7">
      <w:pPr>
        <w:pStyle w:val="FootnoteText"/>
      </w:pPr>
      <w:r>
        <w:rPr>
          <w:rStyle w:val="FootnoteReference"/>
        </w:rPr>
        <w:footnoteRef/>
      </w:r>
      <w:r>
        <w:t xml:space="preserve"> </w:t>
      </w:r>
      <w:r>
        <w:rPr>
          <w:sz w:val="18"/>
          <w:szCs w:val="18"/>
        </w:rPr>
        <w:t xml:space="preserve">Recent research by the University of Delaware’s Center for Political Communication shows that public opinion about voter ID laws can be racialized by simply showing images of African American people. Support is 6% stronger (statistically significant) when shown images of African Americans using voting machines. </w:t>
      </w:r>
      <w:r>
        <w:rPr>
          <w:i/>
          <w:sz w:val="18"/>
          <w:szCs w:val="18"/>
        </w:rPr>
        <w:t>See</w:t>
      </w:r>
      <w:r>
        <w:rPr>
          <w:sz w:val="18"/>
          <w:szCs w:val="18"/>
        </w:rPr>
        <w:t xml:space="preserve"> </w:t>
      </w:r>
      <w:hyperlink r:id="rId17" w:history="1">
        <w:r>
          <w:rPr>
            <w:rStyle w:val="Hyperlink"/>
            <w:sz w:val="18"/>
            <w:szCs w:val="18"/>
          </w:rPr>
          <w:t>http://www.udel.edu/cpc/research/fall2014/CPCVoterID-Race-final.pdf</w:t>
        </w:r>
      </w:hyperlink>
      <w:r w:rsidR="007D17C0" w:rsidRPr="007D17C0">
        <w:rPr>
          <w:sz w:val="18"/>
          <w:szCs w:val="18"/>
        </w:rPr>
        <w:t>.</w:t>
      </w:r>
      <w:r>
        <w:rPr>
          <w:sz w:val="18"/>
          <w:szCs w:val="18"/>
        </w:rPr>
        <w:t xml:space="preserve">   </w:t>
      </w:r>
    </w:p>
  </w:footnote>
  <w:footnote w:id="28">
    <w:p w:rsidR="00C44897" w:rsidRDefault="00C44897">
      <w:pPr>
        <w:pStyle w:val="FootnoteText"/>
      </w:pPr>
      <w:r w:rsidRPr="00B208E6">
        <w:rPr>
          <w:rStyle w:val="FootnoteReference"/>
          <w:sz w:val="18"/>
          <w:szCs w:val="18"/>
        </w:rPr>
        <w:footnoteRef/>
      </w:r>
      <w:r w:rsidRPr="00B208E6">
        <w:rPr>
          <w:sz w:val="18"/>
          <w:szCs w:val="18"/>
        </w:rPr>
        <w:t xml:space="preserve"> </w:t>
      </w:r>
      <w:r w:rsidR="005A78D2" w:rsidRPr="00B208E6">
        <w:rPr>
          <w:sz w:val="18"/>
          <w:szCs w:val="18"/>
        </w:rPr>
        <w:t>And it had some. C</w:t>
      </w:r>
      <w:r w:rsidRPr="00B208E6">
        <w:rPr>
          <w:sz w:val="18"/>
          <w:szCs w:val="18"/>
        </w:rPr>
        <w:t>ivil rights organizations in particular have rarely been able to wage substantial communications campaigns, and showed that they could do so effectively. Building research and communications capacity was also a key strategy to success in the 2012 cycle.</w:t>
      </w:r>
    </w:p>
  </w:footnote>
  <w:footnote w:id="29">
    <w:p w:rsidR="0001049C" w:rsidRPr="00382ED2" w:rsidRDefault="0001049C" w:rsidP="0001049C">
      <w:pPr>
        <w:pStyle w:val="FootnoteText"/>
        <w:rPr>
          <w:sz w:val="18"/>
          <w:szCs w:val="18"/>
        </w:rPr>
      </w:pPr>
      <w:r w:rsidRPr="00382ED2">
        <w:rPr>
          <w:rStyle w:val="FootnoteReference"/>
          <w:sz w:val="18"/>
          <w:szCs w:val="18"/>
        </w:rPr>
        <w:footnoteRef/>
      </w:r>
      <w:r w:rsidRPr="00382ED2">
        <w:rPr>
          <w:sz w:val="18"/>
          <w:szCs w:val="18"/>
        </w:rPr>
        <w:t xml:space="preserve"> During the “war on voting,” the field’s long-standing divide between good government and civil rights groups occasionally reared its head. This strain was aggravated by the actions of Democracy Alliance donors in the lead up to </w:t>
      </w:r>
      <w:r w:rsidRPr="00382ED2">
        <w:rPr>
          <w:i/>
          <w:sz w:val="18"/>
          <w:szCs w:val="18"/>
        </w:rPr>
        <w:t>Shelby</w:t>
      </w:r>
      <w:r w:rsidRPr="00382ED2">
        <w:rPr>
          <w:sz w:val="18"/>
          <w:szCs w:val="18"/>
        </w:rPr>
        <w:t>.</w:t>
      </w:r>
    </w:p>
  </w:footnote>
  <w:footnote w:id="30">
    <w:p w:rsidR="0001049C" w:rsidRPr="00382ED2" w:rsidRDefault="0001049C" w:rsidP="0001049C">
      <w:pPr>
        <w:pStyle w:val="FootnoteText"/>
        <w:rPr>
          <w:sz w:val="18"/>
          <w:szCs w:val="18"/>
        </w:rPr>
      </w:pPr>
      <w:r w:rsidRPr="00382ED2">
        <w:rPr>
          <w:rStyle w:val="FootnoteReference"/>
          <w:sz w:val="18"/>
          <w:szCs w:val="18"/>
        </w:rPr>
        <w:footnoteRef/>
      </w:r>
      <w:r w:rsidRPr="00382ED2">
        <w:rPr>
          <w:sz w:val="18"/>
          <w:szCs w:val="18"/>
        </w:rPr>
        <w:t xml:space="preserve"> Alabama, Alaska, Arizona, Georgia, Louisiana, Mississippi, South Carolina, Texas and Virginia, and certain local jurisdictions within California, Florida, Michigan, North Carolina, New York and South Dakota are collectively known as the “</w:t>
      </w:r>
      <w:r w:rsidRPr="00382ED2">
        <w:rPr>
          <w:i/>
          <w:sz w:val="18"/>
          <w:szCs w:val="18"/>
        </w:rPr>
        <w:t>Shelby</w:t>
      </w:r>
      <w:r w:rsidRPr="00382ED2">
        <w:rPr>
          <w:sz w:val="18"/>
          <w:szCs w:val="18"/>
        </w:rPr>
        <w:t xml:space="preserve"> states.”  </w:t>
      </w:r>
    </w:p>
  </w:footnote>
  <w:footnote w:id="31">
    <w:p w:rsidR="0001049C" w:rsidRPr="00382ED2" w:rsidRDefault="0001049C" w:rsidP="0001049C">
      <w:pPr>
        <w:pStyle w:val="FootnoteText"/>
        <w:rPr>
          <w:sz w:val="18"/>
          <w:szCs w:val="18"/>
        </w:rPr>
      </w:pPr>
      <w:r w:rsidRPr="00382ED2">
        <w:rPr>
          <w:rStyle w:val="FootnoteReference"/>
          <w:sz w:val="18"/>
          <w:szCs w:val="18"/>
        </w:rPr>
        <w:footnoteRef/>
      </w:r>
      <w:r w:rsidRPr="00382ED2">
        <w:rPr>
          <w:sz w:val="18"/>
          <w:szCs w:val="18"/>
        </w:rPr>
        <w:t xml:space="preserve"> Advocates including the Leadership Conference Education Fund, the Mexican American Legal Defense and Education Fund (MALDEF) and the NAACP Legal Defense and Educational Fund (LDF), Constitution Accountability Center (CAC), American Constitution Society (ACS) and Brennan Center helped create a public advocacy, outreach and communications campaign that was designed to provide a common narrative about the importance of the right to register and vote during the time the Court considered the case.</w:t>
      </w:r>
    </w:p>
  </w:footnote>
  <w:footnote w:id="32">
    <w:p w:rsidR="0001049C" w:rsidRDefault="0001049C" w:rsidP="0001049C">
      <w:pPr>
        <w:pStyle w:val="FootnoteText"/>
      </w:pPr>
      <w:r w:rsidRPr="00382ED2">
        <w:rPr>
          <w:rStyle w:val="FootnoteReference"/>
          <w:sz w:val="18"/>
          <w:szCs w:val="18"/>
        </w:rPr>
        <w:footnoteRef/>
      </w:r>
      <w:r w:rsidRPr="00382ED2">
        <w:rPr>
          <w:sz w:val="18"/>
          <w:szCs w:val="18"/>
        </w:rPr>
        <w:t xml:space="preserve"> The U.S. Supreme Court issued a 5-4 decision in </w:t>
      </w:r>
      <w:r w:rsidRPr="00382ED2">
        <w:rPr>
          <w:i/>
          <w:sz w:val="18"/>
          <w:szCs w:val="18"/>
        </w:rPr>
        <w:t>Shelby County v. Holder</w:t>
      </w:r>
      <w:r w:rsidRPr="00382ED2">
        <w:rPr>
          <w:sz w:val="18"/>
          <w:szCs w:val="18"/>
        </w:rPr>
        <w:t xml:space="preserve"> invalidating Section 4(b) of the Voting Rights Act which contained the coverage formula determining which states would be subject to the Act’s preclearance requirement.</w:t>
      </w:r>
    </w:p>
  </w:footnote>
  <w:footnote w:id="33">
    <w:p w:rsidR="0001049C" w:rsidRPr="00382ED2" w:rsidRDefault="0001049C" w:rsidP="0001049C">
      <w:pPr>
        <w:pStyle w:val="FootnoteText"/>
        <w:rPr>
          <w:sz w:val="18"/>
          <w:szCs w:val="18"/>
        </w:rPr>
      </w:pPr>
      <w:r w:rsidRPr="00382ED2">
        <w:rPr>
          <w:rStyle w:val="FootnoteReference"/>
          <w:sz w:val="18"/>
          <w:szCs w:val="18"/>
        </w:rPr>
        <w:footnoteRef/>
      </w:r>
      <w:r w:rsidRPr="00382ED2">
        <w:rPr>
          <w:sz w:val="18"/>
          <w:szCs w:val="18"/>
        </w:rPr>
        <w:t xml:space="preserve"> SRF was set up as a sub-fund of NEO’s State Infrastructure Fund in order to take advantage of a waiver of NEO’s 3% administrative fee due to an arrangement with Carnegie.</w:t>
      </w:r>
    </w:p>
  </w:footnote>
  <w:footnote w:id="34">
    <w:p w:rsidR="0001049C" w:rsidRPr="00382ED2" w:rsidRDefault="0001049C" w:rsidP="0001049C">
      <w:pPr>
        <w:pStyle w:val="FootnoteText"/>
        <w:rPr>
          <w:sz w:val="18"/>
          <w:szCs w:val="18"/>
        </w:rPr>
      </w:pPr>
      <w:r w:rsidRPr="00382ED2">
        <w:rPr>
          <w:rStyle w:val="FootnoteReference"/>
          <w:sz w:val="18"/>
          <w:szCs w:val="18"/>
        </w:rPr>
        <w:footnoteRef/>
      </w:r>
      <w:r w:rsidRPr="00382ED2">
        <w:rPr>
          <w:sz w:val="18"/>
          <w:szCs w:val="18"/>
        </w:rPr>
        <w:t xml:space="preserve"> The national litigating groups include:  Advancement Project, American Civil Liberties Union (ACLU), Asian American Legal Defense and Education Fund (AALDEF), Brennan Center for Justice, </w:t>
      </w:r>
      <w:proofErr w:type="spellStart"/>
      <w:r w:rsidRPr="00382ED2">
        <w:rPr>
          <w:sz w:val="18"/>
          <w:szCs w:val="18"/>
        </w:rPr>
        <w:t>LatinoJustice</w:t>
      </w:r>
      <w:proofErr w:type="spellEnd"/>
      <w:r w:rsidRPr="00382ED2">
        <w:rPr>
          <w:sz w:val="18"/>
          <w:szCs w:val="18"/>
        </w:rPr>
        <w:t>/Puerto Rican Legal Defense and Education Fund (PRLDEF), Lawyers Committee for Civil Rights under Law, MALDEF, LDF, Native American Rights Fund (NARF) and Southern Coalition for Social Justice.</w:t>
      </w:r>
    </w:p>
  </w:footnote>
  <w:footnote w:id="35">
    <w:p w:rsidR="0001049C" w:rsidRDefault="0001049C" w:rsidP="0001049C">
      <w:pPr>
        <w:pStyle w:val="FootnoteText"/>
      </w:pPr>
      <w:r w:rsidRPr="00382ED2">
        <w:rPr>
          <w:rStyle w:val="FootnoteReference"/>
          <w:sz w:val="18"/>
          <w:szCs w:val="18"/>
        </w:rPr>
        <w:footnoteRef/>
      </w:r>
      <w:r w:rsidRPr="00382ED2">
        <w:rPr>
          <w:sz w:val="18"/>
          <w:szCs w:val="18"/>
        </w:rPr>
        <w:t xml:space="preserve"> Directly aligned funding is approximately $8 million.</w:t>
      </w:r>
    </w:p>
  </w:footnote>
  <w:footnote w:id="36">
    <w:p w:rsidR="0001049C" w:rsidRPr="00382ED2" w:rsidRDefault="0001049C" w:rsidP="0001049C">
      <w:pPr>
        <w:pStyle w:val="FootnoteText"/>
        <w:rPr>
          <w:sz w:val="18"/>
          <w:szCs w:val="18"/>
        </w:rPr>
      </w:pPr>
      <w:r w:rsidRPr="00382ED2">
        <w:rPr>
          <w:rStyle w:val="FootnoteReference"/>
          <w:sz w:val="18"/>
          <w:szCs w:val="18"/>
        </w:rPr>
        <w:footnoteRef/>
      </w:r>
      <w:r w:rsidRPr="00382ED2">
        <w:rPr>
          <w:sz w:val="18"/>
          <w:szCs w:val="18"/>
        </w:rPr>
        <w:t xml:space="preserve"> It is perhaps a bit early in the life of post-Shelby </w:t>
      </w:r>
      <w:proofErr w:type="spellStart"/>
      <w:r w:rsidRPr="00382ED2">
        <w:rPr>
          <w:sz w:val="18"/>
          <w:szCs w:val="18"/>
        </w:rPr>
        <w:t>grantmaking</w:t>
      </w:r>
      <w:proofErr w:type="spellEnd"/>
      <w:r w:rsidRPr="00382ED2">
        <w:rPr>
          <w:sz w:val="18"/>
          <w:szCs w:val="18"/>
        </w:rPr>
        <w:t xml:space="preserve"> to accurately determine the merits of this work.</w:t>
      </w:r>
    </w:p>
  </w:footnote>
  <w:footnote w:id="37">
    <w:p w:rsidR="0001049C" w:rsidRDefault="0001049C" w:rsidP="0001049C">
      <w:pPr>
        <w:pStyle w:val="FootnoteText"/>
      </w:pPr>
      <w:r w:rsidRPr="00382ED2">
        <w:rPr>
          <w:rStyle w:val="FootnoteReference"/>
          <w:sz w:val="18"/>
          <w:szCs w:val="18"/>
        </w:rPr>
        <w:footnoteRef/>
      </w:r>
      <w:r w:rsidRPr="00382ED2">
        <w:rPr>
          <w:sz w:val="18"/>
          <w:szCs w:val="18"/>
        </w:rPr>
        <w:t xml:space="preserve"> If</w:t>
      </w:r>
      <w:r>
        <w:rPr>
          <w:sz w:val="18"/>
          <w:szCs w:val="18"/>
        </w:rPr>
        <w:t xml:space="preserve"> the recent 2-day trip that Ken Zimmerman, </w:t>
      </w:r>
      <w:r w:rsidRPr="00382ED2">
        <w:rPr>
          <w:sz w:val="18"/>
          <w:szCs w:val="18"/>
        </w:rPr>
        <w:t xml:space="preserve">Bill Vandenberg, </w:t>
      </w:r>
      <w:r>
        <w:rPr>
          <w:sz w:val="18"/>
          <w:szCs w:val="18"/>
        </w:rPr>
        <w:t xml:space="preserve">Ahely Rios Allende and I made </w:t>
      </w:r>
      <w:r w:rsidRPr="00382ED2">
        <w:rPr>
          <w:sz w:val="18"/>
          <w:szCs w:val="18"/>
        </w:rPr>
        <w:t>to North Carolina to meet with local c3 and c4 advocates and politic</w:t>
      </w:r>
      <w:r>
        <w:rPr>
          <w:sz w:val="18"/>
          <w:szCs w:val="18"/>
        </w:rPr>
        <w:t>al players</w:t>
      </w:r>
      <w:r w:rsidRPr="00382ED2">
        <w:rPr>
          <w:sz w:val="18"/>
          <w:szCs w:val="18"/>
        </w:rPr>
        <w:t xml:space="preserve"> is any indication of the amount of expense and due diligence required make grants expeditiously in 15 states, any such targeted </w:t>
      </w:r>
      <w:r w:rsidRPr="00382ED2">
        <w:rPr>
          <w:i/>
          <w:sz w:val="18"/>
          <w:szCs w:val="18"/>
        </w:rPr>
        <w:t>Shelby</w:t>
      </w:r>
      <w:r w:rsidRPr="00382ED2">
        <w:rPr>
          <w:sz w:val="18"/>
          <w:szCs w:val="18"/>
        </w:rPr>
        <w:t xml:space="preserve"> response would have been unlikely, if not impossible.</w:t>
      </w:r>
    </w:p>
  </w:footnote>
  <w:footnote w:id="38">
    <w:p w:rsidR="0001049C" w:rsidRPr="00382ED2" w:rsidRDefault="0001049C" w:rsidP="0001049C">
      <w:pPr>
        <w:pStyle w:val="FootnoteText"/>
        <w:rPr>
          <w:sz w:val="18"/>
          <w:szCs w:val="18"/>
        </w:rPr>
      </w:pPr>
      <w:r w:rsidRPr="00382ED2">
        <w:rPr>
          <w:rStyle w:val="FootnoteReference"/>
          <w:sz w:val="18"/>
          <w:szCs w:val="18"/>
        </w:rPr>
        <w:footnoteRef/>
      </w:r>
      <w:r w:rsidRPr="00382ED2">
        <w:rPr>
          <w:sz w:val="18"/>
          <w:szCs w:val="18"/>
        </w:rPr>
        <w:t xml:space="preserve"> Before </w:t>
      </w:r>
      <w:r w:rsidRPr="00382ED2">
        <w:rPr>
          <w:i/>
          <w:sz w:val="18"/>
          <w:szCs w:val="18"/>
        </w:rPr>
        <w:t>Shelby</w:t>
      </w:r>
      <w:r w:rsidRPr="00382ED2">
        <w:rPr>
          <w:sz w:val="18"/>
          <w:szCs w:val="18"/>
        </w:rPr>
        <w:t xml:space="preserve"> was decided, SRF grantees were counsel in more than a dozen active voting rights cases.  By summer 2014, the ACLU alone was engaged in voting rights litigation in 9 states:  Alabama, Arkansas, Georgia, Kansas, Montana, North Carolina, Ohio, Pennsylvania and Wisconsin.</w:t>
      </w:r>
    </w:p>
  </w:footnote>
  <w:footnote w:id="39">
    <w:p w:rsidR="0001049C" w:rsidRDefault="0001049C" w:rsidP="0001049C">
      <w:pPr>
        <w:pStyle w:val="FootnoteText"/>
      </w:pPr>
      <w:r w:rsidRPr="00382ED2">
        <w:rPr>
          <w:rStyle w:val="FootnoteReference"/>
          <w:sz w:val="18"/>
          <w:szCs w:val="18"/>
        </w:rPr>
        <w:footnoteRef/>
      </w:r>
      <w:r w:rsidRPr="00382ED2">
        <w:rPr>
          <w:sz w:val="18"/>
          <w:szCs w:val="18"/>
        </w:rPr>
        <w:t xml:space="preserve"> NARF won a Voting Rights Act language assistance case, brought on behalf of native Alaskans.  At the trial level, LDF </w:t>
      </w:r>
      <w:r>
        <w:rPr>
          <w:sz w:val="18"/>
          <w:szCs w:val="18"/>
        </w:rPr>
        <w:t xml:space="preserve">successfully </w:t>
      </w:r>
      <w:r w:rsidRPr="00382ED2">
        <w:rPr>
          <w:sz w:val="18"/>
          <w:szCs w:val="18"/>
        </w:rPr>
        <w:t>litigated the Texas voter ID case where the trial court judge ruled that Texas’s ID law had “an unconstitutional discriminatory purpose,” and created “an unconstitutional burden on the right to vote.” The trial judge in the Wisconsin voter ID case agreed with the ACLU that the law there created an unreasonable burden on minority voters.  Some victories have since been overturned by higher court decisions (as in the case of the U.S. Supreme Court reversal of the Texas ID case.)</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A32ED"/>
    <w:multiLevelType w:val="hybridMultilevel"/>
    <w:tmpl w:val="B27A8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7172DF"/>
    <w:multiLevelType w:val="hybridMultilevel"/>
    <w:tmpl w:val="BDB0AED0"/>
    <w:lvl w:ilvl="0" w:tplc="7390C1A8">
      <w:start w:val="1"/>
      <w:numFmt w:val="decimal"/>
      <w:lvlText w:val="%1)"/>
      <w:lvlJc w:val="left"/>
      <w:pPr>
        <w:ind w:left="720" w:hanging="360"/>
      </w:pPr>
      <w:rPr>
        <w:rFonts w:cs="Times New Roman"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88257A"/>
    <w:multiLevelType w:val="hybridMultilevel"/>
    <w:tmpl w:val="C75817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C565EE"/>
    <w:multiLevelType w:val="hybridMultilevel"/>
    <w:tmpl w:val="B27494B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CD7F53"/>
    <w:multiLevelType w:val="hybridMultilevel"/>
    <w:tmpl w:val="B7D858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9B6B2D"/>
    <w:multiLevelType w:val="hybridMultilevel"/>
    <w:tmpl w:val="FC585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D10620"/>
    <w:multiLevelType w:val="hybridMultilevel"/>
    <w:tmpl w:val="892015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B965A4"/>
    <w:multiLevelType w:val="hybridMultilevel"/>
    <w:tmpl w:val="16E22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D221FC"/>
    <w:multiLevelType w:val="hybridMultilevel"/>
    <w:tmpl w:val="16B0A58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5380D204">
      <w:start w:val="1"/>
      <w:numFmt w:val="upp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857187"/>
    <w:multiLevelType w:val="hybridMultilevel"/>
    <w:tmpl w:val="C306381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9926D7"/>
    <w:multiLevelType w:val="hybridMultilevel"/>
    <w:tmpl w:val="73BEC6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3B37621"/>
    <w:multiLevelType w:val="multilevel"/>
    <w:tmpl w:val="3F947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4"/>
  </w:num>
  <w:num w:numId="4">
    <w:abstractNumId w:val="6"/>
  </w:num>
  <w:num w:numId="5">
    <w:abstractNumId w:val="10"/>
  </w:num>
  <w:num w:numId="6">
    <w:abstractNumId w:val="8"/>
  </w:num>
  <w:num w:numId="7">
    <w:abstractNumId w:val="2"/>
  </w:num>
  <w:num w:numId="8">
    <w:abstractNumId w:val="1"/>
  </w:num>
  <w:num w:numId="9">
    <w:abstractNumId w:val="5"/>
  </w:num>
  <w:num w:numId="10">
    <w:abstractNumId w:val="7"/>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EEA"/>
    <w:rsid w:val="00000962"/>
    <w:rsid w:val="00001269"/>
    <w:rsid w:val="000023B3"/>
    <w:rsid w:val="00002B99"/>
    <w:rsid w:val="00004E95"/>
    <w:rsid w:val="00006244"/>
    <w:rsid w:val="000101DF"/>
    <w:rsid w:val="0001049C"/>
    <w:rsid w:val="00010742"/>
    <w:rsid w:val="00011FB7"/>
    <w:rsid w:val="00015651"/>
    <w:rsid w:val="000169B5"/>
    <w:rsid w:val="0001712F"/>
    <w:rsid w:val="000205D5"/>
    <w:rsid w:val="000247E0"/>
    <w:rsid w:val="00025DA1"/>
    <w:rsid w:val="00026D30"/>
    <w:rsid w:val="000279CE"/>
    <w:rsid w:val="00034FA1"/>
    <w:rsid w:val="00037049"/>
    <w:rsid w:val="00037308"/>
    <w:rsid w:val="000409B2"/>
    <w:rsid w:val="00041650"/>
    <w:rsid w:val="000428A7"/>
    <w:rsid w:val="00042E53"/>
    <w:rsid w:val="00046758"/>
    <w:rsid w:val="0005067C"/>
    <w:rsid w:val="00056B98"/>
    <w:rsid w:val="0006080F"/>
    <w:rsid w:val="00060C82"/>
    <w:rsid w:val="00063DA1"/>
    <w:rsid w:val="00064080"/>
    <w:rsid w:val="0006763C"/>
    <w:rsid w:val="0007342F"/>
    <w:rsid w:val="00076D91"/>
    <w:rsid w:val="00080C1E"/>
    <w:rsid w:val="0008176F"/>
    <w:rsid w:val="00081843"/>
    <w:rsid w:val="00081D23"/>
    <w:rsid w:val="00083510"/>
    <w:rsid w:val="000869BE"/>
    <w:rsid w:val="00087526"/>
    <w:rsid w:val="00090C3F"/>
    <w:rsid w:val="0009396A"/>
    <w:rsid w:val="000A0EEA"/>
    <w:rsid w:val="000A1D4E"/>
    <w:rsid w:val="000A2170"/>
    <w:rsid w:val="000A313E"/>
    <w:rsid w:val="000A33F4"/>
    <w:rsid w:val="000A4677"/>
    <w:rsid w:val="000A5FBC"/>
    <w:rsid w:val="000A7B18"/>
    <w:rsid w:val="000B0FBB"/>
    <w:rsid w:val="000B19F0"/>
    <w:rsid w:val="000B2126"/>
    <w:rsid w:val="000B66DD"/>
    <w:rsid w:val="000C02E0"/>
    <w:rsid w:val="000C0308"/>
    <w:rsid w:val="000C2121"/>
    <w:rsid w:val="000C39AF"/>
    <w:rsid w:val="000C3D22"/>
    <w:rsid w:val="000C4CDE"/>
    <w:rsid w:val="000C6550"/>
    <w:rsid w:val="000C6CB2"/>
    <w:rsid w:val="000C6D7D"/>
    <w:rsid w:val="000C72E0"/>
    <w:rsid w:val="000C77C3"/>
    <w:rsid w:val="000D21DC"/>
    <w:rsid w:val="000D3526"/>
    <w:rsid w:val="000D6CFF"/>
    <w:rsid w:val="000E23AA"/>
    <w:rsid w:val="000E49F4"/>
    <w:rsid w:val="000F0F7D"/>
    <w:rsid w:val="000F13A3"/>
    <w:rsid w:val="000F21A0"/>
    <w:rsid w:val="000F4445"/>
    <w:rsid w:val="000F48B2"/>
    <w:rsid w:val="000F5997"/>
    <w:rsid w:val="000F61B4"/>
    <w:rsid w:val="000F7994"/>
    <w:rsid w:val="00100E89"/>
    <w:rsid w:val="00102665"/>
    <w:rsid w:val="00102747"/>
    <w:rsid w:val="001055A2"/>
    <w:rsid w:val="00114765"/>
    <w:rsid w:val="00114A7E"/>
    <w:rsid w:val="00116292"/>
    <w:rsid w:val="001174DB"/>
    <w:rsid w:val="001174FB"/>
    <w:rsid w:val="00117F8E"/>
    <w:rsid w:val="00120C5E"/>
    <w:rsid w:val="0012164B"/>
    <w:rsid w:val="00122586"/>
    <w:rsid w:val="00124A24"/>
    <w:rsid w:val="001300C0"/>
    <w:rsid w:val="00130C15"/>
    <w:rsid w:val="00131498"/>
    <w:rsid w:val="001316F6"/>
    <w:rsid w:val="00136C03"/>
    <w:rsid w:val="001372A8"/>
    <w:rsid w:val="00137345"/>
    <w:rsid w:val="001412BC"/>
    <w:rsid w:val="001414B3"/>
    <w:rsid w:val="00141B8B"/>
    <w:rsid w:val="001422DD"/>
    <w:rsid w:val="001445C8"/>
    <w:rsid w:val="001450B3"/>
    <w:rsid w:val="00145470"/>
    <w:rsid w:val="00145AD7"/>
    <w:rsid w:val="00147356"/>
    <w:rsid w:val="00147D79"/>
    <w:rsid w:val="00151438"/>
    <w:rsid w:val="00153E02"/>
    <w:rsid w:val="00155FBB"/>
    <w:rsid w:val="00156299"/>
    <w:rsid w:val="00156770"/>
    <w:rsid w:val="00156D80"/>
    <w:rsid w:val="00160D84"/>
    <w:rsid w:val="00160EC2"/>
    <w:rsid w:val="00162286"/>
    <w:rsid w:val="00163F4C"/>
    <w:rsid w:val="00164EE5"/>
    <w:rsid w:val="00167E8D"/>
    <w:rsid w:val="0017062A"/>
    <w:rsid w:val="00172B77"/>
    <w:rsid w:val="0017349C"/>
    <w:rsid w:val="0017425E"/>
    <w:rsid w:val="00174BFA"/>
    <w:rsid w:val="00177473"/>
    <w:rsid w:val="001801A6"/>
    <w:rsid w:val="001807D5"/>
    <w:rsid w:val="00180A86"/>
    <w:rsid w:val="001813AA"/>
    <w:rsid w:val="001820ED"/>
    <w:rsid w:val="00182D8B"/>
    <w:rsid w:val="0018481D"/>
    <w:rsid w:val="00187AFE"/>
    <w:rsid w:val="00190FA5"/>
    <w:rsid w:val="001930BD"/>
    <w:rsid w:val="00194A8B"/>
    <w:rsid w:val="00196046"/>
    <w:rsid w:val="00196B38"/>
    <w:rsid w:val="00196D2B"/>
    <w:rsid w:val="00197B4A"/>
    <w:rsid w:val="001A0D2C"/>
    <w:rsid w:val="001A2F9A"/>
    <w:rsid w:val="001A3C7E"/>
    <w:rsid w:val="001A4FDE"/>
    <w:rsid w:val="001A5D12"/>
    <w:rsid w:val="001A6A02"/>
    <w:rsid w:val="001A6C05"/>
    <w:rsid w:val="001A6F9A"/>
    <w:rsid w:val="001A7107"/>
    <w:rsid w:val="001B0A93"/>
    <w:rsid w:val="001B31A2"/>
    <w:rsid w:val="001B3561"/>
    <w:rsid w:val="001B4051"/>
    <w:rsid w:val="001B4362"/>
    <w:rsid w:val="001B4E63"/>
    <w:rsid w:val="001B504E"/>
    <w:rsid w:val="001B74FC"/>
    <w:rsid w:val="001B7A00"/>
    <w:rsid w:val="001B7A72"/>
    <w:rsid w:val="001B7FF9"/>
    <w:rsid w:val="001D04F0"/>
    <w:rsid w:val="001D1D66"/>
    <w:rsid w:val="001D2E2D"/>
    <w:rsid w:val="001D46EE"/>
    <w:rsid w:val="001D46F6"/>
    <w:rsid w:val="001D5382"/>
    <w:rsid w:val="001D6177"/>
    <w:rsid w:val="001D7095"/>
    <w:rsid w:val="001D7A82"/>
    <w:rsid w:val="001E1C93"/>
    <w:rsid w:val="001E4C84"/>
    <w:rsid w:val="001E5806"/>
    <w:rsid w:val="001E5B33"/>
    <w:rsid w:val="001E6065"/>
    <w:rsid w:val="001E6168"/>
    <w:rsid w:val="001F0B80"/>
    <w:rsid w:val="001F5FEC"/>
    <w:rsid w:val="001F607D"/>
    <w:rsid w:val="0020185B"/>
    <w:rsid w:val="00202849"/>
    <w:rsid w:val="002049CE"/>
    <w:rsid w:val="002054C5"/>
    <w:rsid w:val="002110C2"/>
    <w:rsid w:val="00213272"/>
    <w:rsid w:val="002134B3"/>
    <w:rsid w:val="00215C38"/>
    <w:rsid w:val="0021658E"/>
    <w:rsid w:val="0021663F"/>
    <w:rsid w:val="002176D4"/>
    <w:rsid w:val="0022076B"/>
    <w:rsid w:val="00220BB9"/>
    <w:rsid w:val="00221633"/>
    <w:rsid w:val="002232F6"/>
    <w:rsid w:val="00223F21"/>
    <w:rsid w:val="00224A61"/>
    <w:rsid w:val="00224B1D"/>
    <w:rsid w:val="002252CA"/>
    <w:rsid w:val="002262B5"/>
    <w:rsid w:val="002270E0"/>
    <w:rsid w:val="00227B28"/>
    <w:rsid w:val="00227E26"/>
    <w:rsid w:val="00227F4B"/>
    <w:rsid w:val="00230C48"/>
    <w:rsid w:val="00230E85"/>
    <w:rsid w:val="00232969"/>
    <w:rsid w:val="00233B5F"/>
    <w:rsid w:val="00237C54"/>
    <w:rsid w:val="00240F92"/>
    <w:rsid w:val="002438A3"/>
    <w:rsid w:val="002463C7"/>
    <w:rsid w:val="002471C6"/>
    <w:rsid w:val="00250765"/>
    <w:rsid w:val="00252765"/>
    <w:rsid w:val="00253F73"/>
    <w:rsid w:val="00254026"/>
    <w:rsid w:val="00254839"/>
    <w:rsid w:val="00254887"/>
    <w:rsid w:val="00255A9D"/>
    <w:rsid w:val="00256829"/>
    <w:rsid w:val="00256FA6"/>
    <w:rsid w:val="00262624"/>
    <w:rsid w:val="002631DB"/>
    <w:rsid w:val="00263204"/>
    <w:rsid w:val="00263241"/>
    <w:rsid w:val="00264A9C"/>
    <w:rsid w:val="0026615D"/>
    <w:rsid w:val="00266538"/>
    <w:rsid w:val="00271E3A"/>
    <w:rsid w:val="00272E62"/>
    <w:rsid w:val="002735FC"/>
    <w:rsid w:val="002749FC"/>
    <w:rsid w:val="002756C1"/>
    <w:rsid w:val="002757AF"/>
    <w:rsid w:val="00276DFB"/>
    <w:rsid w:val="00280832"/>
    <w:rsid w:val="0028408D"/>
    <w:rsid w:val="00285C60"/>
    <w:rsid w:val="00285CF9"/>
    <w:rsid w:val="00285FB3"/>
    <w:rsid w:val="00290C5D"/>
    <w:rsid w:val="00291256"/>
    <w:rsid w:val="00293262"/>
    <w:rsid w:val="0029466E"/>
    <w:rsid w:val="00294A74"/>
    <w:rsid w:val="002A1284"/>
    <w:rsid w:val="002A1EC3"/>
    <w:rsid w:val="002A3732"/>
    <w:rsid w:val="002A3A1E"/>
    <w:rsid w:val="002A3BAF"/>
    <w:rsid w:val="002A42A8"/>
    <w:rsid w:val="002A4694"/>
    <w:rsid w:val="002A6433"/>
    <w:rsid w:val="002A6DA7"/>
    <w:rsid w:val="002A7070"/>
    <w:rsid w:val="002B069C"/>
    <w:rsid w:val="002B07F3"/>
    <w:rsid w:val="002B1A01"/>
    <w:rsid w:val="002B234F"/>
    <w:rsid w:val="002B2B73"/>
    <w:rsid w:val="002B390C"/>
    <w:rsid w:val="002B572A"/>
    <w:rsid w:val="002B6852"/>
    <w:rsid w:val="002B77BA"/>
    <w:rsid w:val="002C1C31"/>
    <w:rsid w:val="002C3B09"/>
    <w:rsid w:val="002C4184"/>
    <w:rsid w:val="002C4851"/>
    <w:rsid w:val="002C4D87"/>
    <w:rsid w:val="002C5CBC"/>
    <w:rsid w:val="002C6806"/>
    <w:rsid w:val="002C718E"/>
    <w:rsid w:val="002D1500"/>
    <w:rsid w:val="002D185E"/>
    <w:rsid w:val="002D4C88"/>
    <w:rsid w:val="002D6C20"/>
    <w:rsid w:val="002E1FC7"/>
    <w:rsid w:val="002E2407"/>
    <w:rsid w:val="002E3E12"/>
    <w:rsid w:val="002E7317"/>
    <w:rsid w:val="002F02B7"/>
    <w:rsid w:val="002F1CF3"/>
    <w:rsid w:val="002F26EB"/>
    <w:rsid w:val="002F28E0"/>
    <w:rsid w:val="002F3A80"/>
    <w:rsid w:val="002F6621"/>
    <w:rsid w:val="002F6C31"/>
    <w:rsid w:val="002F7F41"/>
    <w:rsid w:val="0030251A"/>
    <w:rsid w:val="00302A32"/>
    <w:rsid w:val="00303D2D"/>
    <w:rsid w:val="00307E12"/>
    <w:rsid w:val="00312600"/>
    <w:rsid w:val="0031268C"/>
    <w:rsid w:val="00313CA4"/>
    <w:rsid w:val="00314E93"/>
    <w:rsid w:val="003169A8"/>
    <w:rsid w:val="00316B1E"/>
    <w:rsid w:val="00316C98"/>
    <w:rsid w:val="003177C8"/>
    <w:rsid w:val="0032142E"/>
    <w:rsid w:val="003220F7"/>
    <w:rsid w:val="00322232"/>
    <w:rsid w:val="00322E53"/>
    <w:rsid w:val="003230A6"/>
    <w:rsid w:val="00324727"/>
    <w:rsid w:val="00325B5A"/>
    <w:rsid w:val="00327CA0"/>
    <w:rsid w:val="003302E9"/>
    <w:rsid w:val="00332342"/>
    <w:rsid w:val="00334067"/>
    <w:rsid w:val="0033416A"/>
    <w:rsid w:val="00335224"/>
    <w:rsid w:val="003364E1"/>
    <w:rsid w:val="00337737"/>
    <w:rsid w:val="003379D4"/>
    <w:rsid w:val="00341768"/>
    <w:rsid w:val="00343C46"/>
    <w:rsid w:val="00347200"/>
    <w:rsid w:val="0034769E"/>
    <w:rsid w:val="00350BC2"/>
    <w:rsid w:val="00351A2C"/>
    <w:rsid w:val="003534F0"/>
    <w:rsid w:val="003536E4"/>
    <w:rsid w:val="0035425A"/>
    <w:rsid w:val="00354739"/>
    <w:rsid w:val="00356043"/>
    <w:rsid w:val="003579F6"/>
    <w:rsid w:val="00357B80"/>
    <w:rsid w:val="00361CBA"/>
    <w:rsid w:val="00362FA6"/>
    <w:rsid w:val="00363444"/>
    <w:rsid w:val="00372B43"/>
    <w:rsid w:val="003743B3"/>
    <w:rsid w:val="00377370"/>
    <w:rsid w:val="003836AD"/>
    <w:rsid w:val="00385009"/>
    <w:rsid w:val="00385647"/>
    <w:rsid w:val="003911AE"/>
    <w:rsid w:val="00391593"/>
    <w:rsid w:val="00393640"/>
    <w:rsid w:val="00393738"/>
    <w:rsid w:val="0039404A"/>
    <w:rsid w:val="00395D87"/>
    <w:rsid w:val="00396B57"/>
    <w:rsid w:val="003A12D9"/>
    <w:rsid w:val="003A21D7"/>
    <w:rsid w:val="003A641F"/>
    <w:rsid w:val="003A69D2"/>
    <w:rsid w:val="003A7033"/>
    <w:rsid w:val="003A7DC5"/>
    <w:rsid w:val="003B06D8"/>
    <w:rsid w:val="003B47ED"/>
    <w:rsid w:val="003B7843"/>
    <w:rsid w:val="003C4DA8"/>
    <w:rsid w:val="003C7FFE"/>
    <w:rsid w:val="003D1D83"/>
    <w:rsid w:val="003D2C7E"/>
    <w:rsid w:val="003D4922"/>
    <w:rsid w:val="003D5C54"/>
    <w:rsid w:val="003D5CC0"/>
    <w:rsid w:val="003D6FDA"/>
    <w:rsid w:val="003D75AB"/>
    <w:rsid w:val="003D7771"/>
    <w:rsid w:val="003E280F"/>
    <w:rsid w:val="003E5F73"/>
    <w:rsid w:val="003E61C5"/>
    <w:rsid w:val="003E7BF0"/>
    <w:rsid w:val="003F0186"/>
    <w:rsid w:val="003F08F8"/>
    <w:rsid w:val="003F48C0"/>
    <w:rsid w:val="003F4F47"/>
    <w:rsid w:val="003F66AB"/>
    <w:rsid w:val="003F6BB0"/>
    <w:rsid w:val="0040043A"/>
    <w:rsid w:val="00400557"/>
    <w:rsid w:val="00402C00"/>
    <w:rsid w:val="00402DBE"/>
    <w:rsid w:val="004034C4"/>
    <w:rsid w:val="00403549"/>
    <w:rsid w:val="00403D99"/>
    <w:rsid w:val="00405177"/>
    <w:rsid w:val="00407465"/>
    <w:rsid w:val="00407BDF"/>
    <w:rsid w:val="00412AA4"/>
    <w:rsid w:val="004157BA"/>
    <w:rsid w:val="00421920"/>
    <w:rsid w:val="004225DA"/>
    <w:rsid w:val="00423458"/>
    <w:rsid w:val="004252AB"/>
    <w:rsid w:val="004269BF"/>
    <w:rsid w:val="0042789D"/>
    <w:rsid w:val="00431652"/>
    <w:rsid w:val="00431A24"/>
    <w:rsid w:val="00433B18"/>
    <w:rsid w:val="00435D97"/>
    <w:rsid w:val="00435FDC"/>
    <w:rsid w:val="00437E77"/>
    <w:rsid w:val="004436AB"/>
    <w:rsid w:val="004440F4"/>
    <w:rsid w:val="00447409"/>
    <w:rsid w:val="0044748F"/>
    <w:rsid w:val="004477EF"/>
    <w:rsid w:val="0045084E"/>
    <w:rsid w:val="00452F3C"/>
    <w:rsid w:val="00462561"/>
    <w:rsid w:val="00463C22"/>
    <w:rsid w:val="00471223"/>
    <w:rsid w:val="0047265C"/>
    <w:rsid w:val="00481319"/>
    <w:rsid w:val="00481936"/>
    <w:rsid w:val="00481DCF"/>
    <w:rsid w:val="0048443C"/>
    <w:rsid w:val="00486CE4"/>
    <w:rsid w:val="00490FD4"/>
    <w:rsid w:val="004919D2"/>
    <w:rsid w:val="004937F3"/>
    <w:rsid w:val="00494F63"/>
    <w:rsid w:val="0049798A"/>
    <w:rsid w:val="004A1D54"/>
    <w:rsid w:val="004A2EC1"/>
    <w:rsid w:val="004A686D"/>
    <w:rsid w:val="004A68F1"/>
    <w:rsid w:val="004A75AF"/>
    <w:rsid w:val="004B0838"/>
    <w:rsid w:val="004B3F96"/>
    <w:rsid w:val="004B4C3C"/>
    <w:rsid w:val="004B501A"/>
    <w:rsid w:val="004B72C0"/>
    <w:rsid w:val="004B7EBB"/>
    <w:rsid w:val="004C00A6"/>
    <w:rsid w:val="004C07A2"/>
    <w:rsid w:val="004C341A"/>
    <w:rsid w:val="004C3E4F"/>
    <w:rsid w:val="004C6D85"/>
    <w:rsid w:val="004C753B"/>
    <w:rsid w:val="004C75FD"/>
    <w:rsid w:val="004C76EB"/>
    <w:rsid w:val="004D4B78"/>
    <w:rsid w:val="004D6414"/>
    <w:rsid w:val="004E0B53"/>
    <w:rsid w:val="004E20A0"/>
    <w:rsid w:val="004E2F72"/>
    <w:rsid w:val="004E31F2"/>
    <w:rsid w:val="004E3A93"/>
    <w:rsid w:val="004E45E0"/>
    <w:rsid w:val="004E730D"/>
    <w:rsid w:val="004F01EF"/>
    <w:rsid w:val="004F1F0C"/>
    <w:rsid w:val="004F3243"/>
    <w:rsid w:val="004F3BDE"/>
    <w:rsid w:val="004F425A"/>
    <w:rsid w:val="004F4FF6"/>
    <w:rsid w:val="005001D0"/>
    <w:rsid w:val="00500C9C"/>
    <w:rsid w:val="00503799"/>
    <w:rsid w:val="00504CF8"/>
    <w:rsid w:val="00505842"/>
    <w:rsid w:val="0050639A"/>
    <w:rsid w:val="00506B0B"/>
    <w:rsid w:val="0050714A"/>
    <w:rsid w:val="0051340B"/>
    <w:rsid w:val="00514D85"/>
    <w:rsid w:val="00514E80"/>
    <w:rsid w:val="00516463"/>
    <w:rsid w:val="00516556"/>
    <w:rsid w:val="005217D0"/>
    <w:rsid w:val="00523238"/>
    <w:rsid w:val="00523418"/>
    <w:rsid w:val="0052449F"/>
    <w:rsid w:val="005251D5"/>
    <w:rsid w:val="00527DC9"/>
    <w:rsid w:val="00531AE6"/>
    <w:rsid w:val="00531DCD"/>
    <w:rsid w:val="0053284D"/>
    <w:rsid w:val="00533A17"/>
    <w:rsid w:val="0053498D"/>
    <w:rsid w:val="005403D3"/>
    <w:rsid w:val="00542129"/>
    <w:rsid w:val="0054374E"/>
    <w:rsid w:val="00543F52"/>
    <w:rsid w:val="00546664"/>
    <w:rsid w:val="005473A9"/>
    <w:rsid w:val="00547BB0"/>
    <w:rsid w:val="005503FE"/>
    <w:rsid w:val="00550B65"/>
    <w:rsid w:val="005529D8"/>
    <w:rsid w:val="005530AA"/>
    <w:rsid w:val="0056162D"/>
    <w:rsid w:val="00561C1F"/>
    <w:rsid w:val="00563D99"/>
    <w:rsid w:val="00565925"/>
    <w:rsid w:val="00565BD9"/>
    <w:rsid w:val="00567979"/>
    <w:rsid w:val="00573AEE"/>
    <w:rsid w:val="005746AD"/>
    <w:rsid w:val="005778AA"/>
    <w:rsid w:val="00577FCD"/>
    <w:rsid w:val="00581179"/>
    <w:rsid w:val="0058140A"/>
    <w:rsid w:val="00581D3D"/>
    <w:rsid w:val="00582637"/>
    <w:rsid w:val="005848BF"/>
    <w:rsid w:val="0058494D"/>
    <w:rsid w:val="00585DCE"/>
    <w:rsid w:val="00585F48"/>
    <w:rsid w:val="00586CB4"/>
    <w:rsid w:val="00587AD4"/>
    <w:rsid w:val="00590131"/>
    <w:rsid w:val="005914B2"/>
    <w:rsid w:val="00593083"/>
    <w:rsid w:val="00594B66"/>
    <w:rsid w:val="00597235"/>
    <w:rsid w:val="005A1337"/>
    <w:rsid w:val="005A1526"/>
    <w:rsid w:val="005A16D2"/>
    <w:rsid w:val="005A37CF"/>
    <w:rsid w:val="005A7065"/>
    <w:rsid w:val="005A7339"/>
    <w:rsid w:val="005A78D2"/>
    <w:rsid w:val="005B1576"/>
    <w:rsid w:val="005B225A"/>
    <w:rsid w:val="005B3D6F"/>
    <w:rsid w:val="005B560C"/>
    <w:rsid w:val="005B752E"/>
    <w:rsid w:val="005B78E7"/>
    <w:rsid w:val="005C0810"/>
    <w:rsid w:val="005C304B"/>
    <w:rsid w:val="005C4BFF"/>
    <w:rsid w:val="005C51D4"/>
    <w:rsid w:val="005C554A"/>
    <w:rsid w:val="005D144B"/>
    <w:rsid w:val="005D2A84"/>
    <w:rsid w:val="005D7590"/>
    <w:rsid w:val="005D76E3"/>
    <w:rsid w:val="005E0005"/>
    <w:rsid w:val="005E0E4D"/>
    <w:rsid w:val="005E634F"/>
    <w:rsid w:val="005E743B"/>
    <w:rsid w:val="005F1D04"/>
    <w:rsid w:val="005F37D1"/>
    <w:rsid w:val="005F4181"/>
    <w:rsid w:val="005F63DE"/>
    <w:rsid w:val="0060090F"/>
    <w:rsid w:val="00601D14"/>
    <w:rsid w:val="00602127"/>
    <w:rsid w:val="00602FC4"/>
    <w:rsid w:val="006030BD"/>
    <w:rsid w:val="00604ABF"/>
    <w:rsid w:val="006076F3"/>
    <w:rsid w:val="00612DA3"/>
    <w:rsid w:val="006132A8"/>
    <w:rsid w:val="0061362A"/>
    <w:rsid w:val="006145B6"/>
    <w:rsid w:val="00614C99"/>
    <w:rsid w:val="00620B13"/>
    <w:rsid w:val="006215AF"/>
    <w:rsid w:val="00624720"/>
    <w:rsid w:val="00630A1D"/>
    <w:rsid w:val="00632884"/>
    <w:rsid w:val="00633A4C"/>
    <w:rsid w:val="00634F7D"/>
    <w:rsid w:val="0063532B"/>
    <w:rsid w:val="00640A14"/>
    <w:rsid w:val="00641A10"/>
    <w:rsid w:val="006472C1"/>
    <w:rsid w:val="006501AF"/>
    <w:rsid w:val="00650B76"/>
    <w:rsid w:val="00651A6A"/>
    <w:rsid w:val="00651BEE"/>
    <w:rsid w:val="00653025"/>
    <w:rsid w:val="006546C5"/>
    <w:rsid w:val="00654F58"/>
    <w:rsid w:val="00655E97"/>
    <w:rsid w:val="00655FD8"/>
    <w:rsid w:val="006562F3"/>
    <w:rsid w:val="00660896"/>
    <w:rsid w:val="006617ED"/>
    <w:rsid w:val="00662634"/>
    <w:rsid w:val="00663595"/>
    <w:rsid w:val="00664963"/>
    <w:rsid w:val="0066614E"/>
    <w:rsid w:val="006663FB"/>
    <w:rsid w:val="006709BF"/>
    <w:rsid w:val="00670A08"/>
    <w:rsid w:val="00671070"/>
    <w:rsid w:val="00671CA0"/>
    <w:rsid w:val="00672801"/>
    <w:rsid w:val="00673321"/>
    <w:rsid w:val="0067378F"/>
    <w:rsid w:val="00674FF0"/>
    <w:rsid w:val="006761F5"/>
    <w:rsid w:val="00680D20"/>
    <w:rsid w:val="006820B1"/>
    <w:rsid w:val="00682AE1"/>
    <w:rsid w:val="00684B47"/>
    <w:rsid w:val="006858DF"/>
    <w:rsid w:val="00690BB8"/>
    <w:rsid w:val="006956A0"/>
    <w:rsid w:val="00696EDA"/>
    <w:rsid w:val="0069701E"/>
    <w:rsid w:val="006975F7"/>
    <w:rsid w:val="006A511F"/>
    <w:rsid w:val="006A63A0"/>
    <w:rsid w:val="006A7044"/>
    <w:rsid w:val="006A7E56"/>
    <w:rsid w:val="006B0473"/>
    <w:rsid w:val="006B4BBB"/>
    <w:rsid w:val="006B4E98"/>
    <w:rsid w:val="006B5F42"/>
    <w:rsid w:val="006C2321"/>
    <w:rsid w:val="006C26C9"/>
    <w:rsid w:val="006C2B7A"/>
    <w:rsid w:val="006C2D7E"/>
    <w:rsid w:val="006C47F6"/>
    <w:rsid w:val="006C555F"/>
    <w:rsid w:val="006C56B1"/>
    <w:rsid w:val="006C758C"/>
    <w:rsid w:val="006C786C"/>
    <w:rsid w:val="006D0587"/>
    <w:rsid w:val="006D2C8B"/>
    <w:rsid w:val="006D417E"/>
    <w:rsid w:val="006D6257"/>
    <w:rsid w:val="006D76EE"/>
    <w:rsid w:val="006E28CF"/>
    <w:rsid w:val="006E2E83"/>
    <w:rsid w:val="006E3E83"/>
    <w:rsid w:val="006E5E71"/>
    <w:rsid w:val="006E7FA1"/>
    <w:rsid w:val="006F124B"/>
    <w:rsid w:val="006F2A91"/>
    <w:rsid w:val="006F2CC1"/>
    <w:rsid w:val="006F5038"/>
    <w:rsid w:val="006F5BA4"/>
    <w:rsid w:val="006F75AD"/>
    <w:rsid w:val="00701CA5"/>
    <w:rsid w:val="00705B99"/>
    <w:rsid w:val="00706749"/>
    <w:rsid w:val="00710992"/>
    <w:rsid w:val="00710E77"/>
    <w:rsid w:val="0071155C"/>
    <w:rsid w:val="00712646"/>
    <w:rsid w:val="00713A70"/>
    <w:rsid w:val="00713D7A"/>
    <w:rsid w:val="007216CA"/>
    <w:rsid w:val="00724C6A"/>
    <w:rsid w:val="00725C8A"/>
    <w:rsid w:val="00727004"/>
    <w:rsid w:val="00727F1C"/>
    <w:rsid w:val="007315F9"/>
    <w:rsid w:val="007349A6"/>
    <w:rsid w:val="007350F9"/>
    <w:rsid w:val="007369EE"/>
    <w:rsid w:val="0074184A"/>
    <w:rsid w:val="0074194B"/>
    <w:rsid w:val="00743B31"/>
    <w:rsid w:val="007519A6"/>
    <w:rsid w:val="00752329"/>
    <w:rsid w:val="00752CF6"/>
    <w:rsid w:val="007533E6"/>
    <w:rsid w:val="00755568"/>
    <w:rsid w:val="0075749E"/>
    <w:rsid w:val="00757DB5"/>
    <w:rsid w:val="0076036A"/>
    <w:rsid w:val="007605AA"/>
    <w:rsid w:val="00764E38"/>
    <w:rsid w:val="007652DC"/>
    <w:rsid w:val="00767848"/>
    <w:rsid w:val="007729CC"/>
    <w:rsid w:val="00773962"/>
    <w:rsid w:val="00773DD4"/>
    <w:rsid w:val="00774D16"/>
    <w:rsid w:val="00774FD6"/>
    <w:rsid w:val="007757B2"/>
    <w:rsid w:val="00776164"/>
    <w:rsid w:val="007814C2"/>
    <w:rsid w:val="00786B0A"/>
    <w:rsid w:val="0079391C"/>
    <w:rsid w:val="007A0854"/>
    <w:rsid w:val="007A1C60"/>
    <w:rsid w:val="007A3AC3"/>
    <w:rsid w:val="007A649D"/>
    <w:rsid w:val="007B21ED"/>
    <w:rsid w:val="007B3220"/>
    <w:rsid w:val="007B47CF"/>
    <w:rsid w:val="007B5A06"/>
    <w:rsid w:val="007B7FD3"/>
    <w:rsid w:val="007C2265"/>
    <w:rsid w:val="007C231B"/>
    <w:rsid w:val="007C7551"/>
    <w:rsid w:val="007D17C0"/>
    <w:rsid w:val="007D57C6"/>
    <w:rsid w:val="007E152F"/>
    <w:rsid w:val="007E16AD"/>
    <w:rsid w:val="007E6899"/>
    <w:rsid w:val="007E6DBD"/>
    <w:rsid w:val="007E7758"/>
    <w:rsid w:val="007E78C8"/>
    <w:rsid w:val="007E7DFE"/>
    <w:rsid w:val="007F3F98"/>
    <w:rsid w:val="007F4D40"/>
    <w:rsid w:val="007F53DE"/>
    <w:rsid w:val="007F5E1D"/>
    <w:rsid w:val="007F6D63"/>
    <w:rsid w:val="007F712D"/>
    <w:rsid w:val="007F7256"/>
    <w:rsid w:val="007F751E"/>
    <w:rsid w:val="007F7D14"/>
    <w:rsid w:val="008056BB"/>
    <w:rsid w:val="008057BB"/>
    <w:rsid w:val="00805AEF"/>
    <w:rsid w:val="00805BD8"/>
    <w:rsid w:val="00806E95"/>
    <w:rsid w:val="008102F5"/>
    <w:rsid w:val="008105DE"/>
    <w:rsid w:val="008124D5"/>
    <w:rsid w:val="00812DE5"/>
    <w:rsid w:val="008134B8"/>
    <w:rsid w:val="00816814"/>
    <w:rsid w:val="00816B07"/>
    <w:rsid w:val="00816E35"/>
    <w:rsid w:val="00817234"/>
    <w:rsid w:val="0082339B"/>
    <w:rsid w:val="0082564B"/>
    <w:rsid w:val="00825D5A"/>
    <w:rsid w:val="0082634B"/>
    <w:rsid w:val="00835033"/>
    <w:rsid w:val="008358C3"/>
    <w:rsid w:val="00840B46"/>
    <w:rsid w:val="00847F98"/>
    <w:rsid w:val="00850986"/>
    <w:rsid w:val="0085129F"/>
    <w:rsid w:val="008523B9"/>
    <w:rsid w:val="00853E6D"/>
    <w:rsid w:val="008545A1"/>
    <w:rsid w:val="0085569B"/>
    <w:rsid w:val="00855A45"/>
    <w:rsid w:val="00855FF5"/>
    <w:rsid w:val="00861AA3"/>
    <w:rsid w:val="00863417"/>
    <w:rsid w:val="00865C1F"/>
    <w:rsid w:val="00871680"/>
    <w:rsid w:val="00871788"/>
    <w:rsid w:val="00872A75"/>
    <w:rsid w:val="00877D65"/>
    <w:rsid w:val="0088040E"/>
    <w:rsid w:val="00884551"/>
    <w:rsid w:val="00885F33"/>
    <w:rsid w:val="00886B3A"/>
    <w:rsid w:val="00887E50"/>
    <w:rsid w:val="008920EE"/>
    <w:rsid w:val="00892FF2"/>
    <w:rsid w:val="00895DDB"/>
    <w:rsid w:val="008964A9"/>
    <w:rsid w:val="008974B7"/>
    <w:rsid w:val="008A1776"/>
    <w:rsid w:val="008A1B48"/>
    <w:rsid w:val="008A2CA5"/>
    <w:rsid w:val="008A2D24"/>
    <w:rsid w:val="008A3E4B"/>
    <w:rsid w:val="008A3F7A"/>
    <w:rsid w:val="008A43D2"/>
    <w:rsid w:val="008A5DCA"/>
    <w:rsid w:val="008A6A29"/>
    <w:rsid w:val="008A6E47"/>
    <w:rsid w:val="008B1DE5"/>
    <w:rsid w:val="008B2961"/>
    <w:rsid w:val="008B37B9"/>
    <w:rsid w:val="008B4B4E"/>
    <w:rsid w:val="008B57CD"/>
    <w:rsid w:val="008B5C9F"/>
    <w:rsid w:val="008B76CC"/>
    <w:rsid w:val="008B7AB5"/>
    <w:rsid w:val="008C0A60"/>
    <w:rsid w:val="008C3362"/>
    <w:rsid w:val="008C6AF1"/>
    <w:rsid w:val="008C7A7E"/>
    <w:rsid w:val="008C7D3E"/>
    <w:rsid w:val="008C7E9E"/>
    <w:rsid w:val="008D1B7B"/>
    <w:rsid w:val="008D285B"/>
    <w:rsid w:val="008D4551"/>
    <w:rsid w:val="008D5C22"/>
    <w:rsid w:val="008D6187"/>
    <w:rsid w:val="008D67F1"/>
    <w:rsid w:val="008D6B68"/>
    <w:rsid w:val="008E0560"/>
    <w:rsid w:val="008E5EBD"/>
    <w:rsid w:val="008E74FC"/>
    <w:rsid w:val="008F058B"/>
    <w:rsid w:val="008F0D33"/>
    <w:rsid w:val="008F448D"/>
    <w:rsid w:val="008F4C8F"/>
    <w:rsid w:val="008F6C5F"/>
    <w:rsid w:val="00901A92"/>
    <w:rsid w:val="00906402"/>
    <w:rsid w:val="009064E8"/>
    <w:rsid w:val="00906BA9"/>
    <w:rsid w:val="00911F10"/>
    <w:rsid w:val="0091246C"/>
    <w:rsid w:val="00912E5E"/>
    <w:rsid w:val="00914011"/>
    <w:rsid w:val="009155B4"/>
    <w:rsid w:val="0091770B"/>
    <w:rsid w:val="00920658"/>
    <w:rsid w:val="00923C8B"/>
    <w:rsid w:val="00924DE0"/>
    <w:rsid w:val="0092510D"/>
    <w:rsid w:val="00925C10"/>
    <w:rsid w:val="00925D5D"/>
    <w:rsid w:val="00926B66"/>
    <w:rsid w:val="0093118E"/>
    <w:rsid w:val="009325CC"/>
    <w:rsid w:val="00936043"/>
    <w:rsid w:val="00937B7C"/>
    <w:rsid w:val="009432D2"/>
    <w:rsid w:val="009505B4"/>
    <w:rsid w:val="00950CE1"/>
    <w:rsid w:val="00953B36"/>
    <w:rsid w:val="0095532C"/>
    <w:rsid w:val="00957857"/>
    <w:rsid w:val="00963C13"/>
    <w:rsid w:val="00970AB7"/>
    <w:rsid w:val="00971320"/>
    <w:rsid w:val="00971B99"/>
    <w:rsid w:val="0097224D"/>
    <w:rsid w:val="00972CD6"/>
    <w:rsid w:val="0097313B"/>
    <w:rsid w:val="0097508E"/>
    <w:rsid w:val="0097528E"/>
    <w:rsid w:val="00976DB4"/>
    <w:rsid w:val="0098280B"/>
    <w:rsid w:val="00982831"/>
    <w:rsid w:val="0098498F"/>
    <w:rsid w:val="00984F8D"/>
    <w:rsid w:val="009863A6"/>
    <w:rsid w:val="00986FAB"/>
    <w:rsid w:val="00991B00"/>
    <w:rsid w:val="00992162"/>
    <w:rsid w:val="009931B5"/>
    <w:rsid w:val="00994606"/>
    <w:rsid w:val="00995FAE"/>
    <w:rsid w:val="009A01AA"/>
    <w:rsid w:val="009A5B4B"/>
    <w:rsid w:val="009A7668"/>
    <w:rsid w:val="009B0217"/>
    <w:rsid w:val="009B390C"/>
    <w:rsid w:val="009B79CC"/>
    <w:rsid w:val="009C03ED"/>
    <w:rsid w:val="009C0B63"/>
    <w:rsid w:val="009C3233"/>
    <w:rsid w:val="009C65BA"/>
    <w:rsid w:val="009C7030"/>
    <w:rsid w:val="009C7512"/>
    <w:rsid w:val="009C75D9"/>
    <w:rsid w:val="009D3883"/>
    <w:rsid w:val="009D5E5D"/>
    <w:rsid w:val="009D7413"/>
    <w:rsid w:val="009D74AC"/>
    <w:rsid w:val="009D7DCE"/>
    <w:rsid w:val="009E207A"/>
    <w:rsid w:val="009E323E"/>
    <w:rsid w:val="009E5B07"/>
    <w:rsid w:val="009E7F4D"/>
    <w:rsid w:val="009F0AFC"/>
    <w:rsid w:val="009F0D9D"/>
    <w:rsid w:val="009F1536"/>
    <w:rsid w:val="009F1549"/>
    <w:rsid w:val="009F1F5E"/>
    <w:rsid w:val="009F21D3"/>
    <w:rsid w:val="009F357E"/>
    <w:rsid w:val="009F3F7C"/>
    <w:rsid w:val="009F4E1A"/>
    <w:rsid w:val="00A010C5"/>
    <w:rsid w:val="00A02FA1"/>
    <w:rsid w:val="00A06AE7"/>
    <w:rsid w:val="00A0763B"/>
    <w:rsid w:val="00A077E2"/>
    <w:rsid w:val="00A07BBF"/>
    <w:rsid w:val="00A07F6A"/>
    <w:rsid w:val="00A106EC"/>
    <w:rsid w:val="00A10DD3"/>
    <w:rsid w:val="00A11B5D"/>
    <w:rsid w:val="00A12BF4"/>
    <w:rsid w:val="00A12D81"/>
    <w:rsid w:val="00A1562F"/>
    <w:rsid w:val="00A160EF"/>
    <w:rsid w:val="00A17DC5"/>
    <w:rsid w:val="00A217EC"/>
    <w:rsid w:val="00A22DE3"/>
    <w:rsid w:val="00A24CF8"/>
    <w:rsid w:val="00A2618E"/>
    <w:rsid w:val="00A26E1F"/>
    <w:rsid w:val="00A2745C"/>
    <w:rsid w:val="00A278F3"/>
    <w:rsid w:val="00A31D78"/>
    <w:rsid w:val="00A33D9B"/>
    <w:rsid w:val="00A3413C"/>
    <w:rsid w:val="00A35057"/>
    <w:rsid w:val="00A3634F"/>
    <w:rsid w:val="00A401CD"/>
    <w:rsid w:val="00A43F59"/>
    <w:rsid w:val="00A448F7"/>
    <w:rsid w:val="00A46413"/>
    <w:rsid w:val="00A46B3E"/>
    <w:rsid w:val="00A50599"/>
    <w:rsid w:val="00A509A8"/>
    <w:rsid w:val="00A52D87"/>
    <w:rsid w:val="00A61A32"/>
    <w:rsid w:val="00A61FCA"/>
    <w:rsid w:val="00A6258D"/>
    <w:rsid w:val="00A6274A"/>
    <w:rsid w:val="00A62D85"/>
    <w:rsid w:val="00A62F53"/>
    <w:rsid w:val="00A6355E"/>
    <w:rsid w:val="00A6396F"/>
    <w:rsid w:val="00A64D94"/>
    <w:rsid w:val="00A656C2"/>
    <w:rsid w:val="00A65F2D"/>
    <w:rsid w:val="00A66504"/>
    <w:rsid w:val="00A703CE"/>
    <w:rsid w:val="00A73BF8"/>
    <w:rsid w:val="00A7570E"/>
    <w:rsid w:val="00A76836"/>
    <w:rsid w:val="00A77E2C"/>
    <w:rsid w:val="00A80872"/>
    <w:rsid w:val="00A80E27"/>
    <w:rsid w:val="00A81045"/>
    <w:rsid w:val="00A81D1D"/>
    <w:rsid w:val="00A82143"/>
    <w:rsid w:val="00A82313"/>
    <w:rsid w:val="00A83AAA"/>
    <w:rsid w:val="00A83D15"/>
    <w:rsid w:val="00A879A9"/>
    <w:rsid w:val="00A92CE9"/>
    <w:rsid w:val="00A9663E"/>
    <w:rsid w:val="00A96711"/>
    <w:rsid w:val="00A96FDD"/>
    <w:rsid w:val="00A97AEE"/>
    <w:rsid w:val="00AA2171"/>
    <w:rsid w:val="00AA34F7"/>
    <w:rsid w:val="00AA3FD4"/>
    <w:rsid w:val="00AA42C2"/>
    <w:rsid w:val="00AA4539"/>
    <w:rsid w:val="00AA4FA8"/>
    <w:rsid w:val="00AA6B46"/>
    <w:rsid w:val="00AA7B82"/>
    <w:rsid w:val="00AB4779"/>
    <w:rsid w:val="00AB594A"/>
    <w:rsid w:val="00AB6216"/>
    <w:rsid w:val="00AC0920"/>
    <w:rsid w:val="00AC0A45"/>
    <w:rsid w:val="00AC2971"/>
    <w:rsid w:val="00AC29E0"/>
    <w:rsid w:val="00AC552A"/>
    <w:rsid w:val="00AC5D66"/>
    <w:rsid w:val="00AC72D6"/>
    <w:rsid w:val="00AD1C78"/>
    <w:rsid w:val="00AD2301"/>
    <w:rsid w:val="00AD3F3D"/>
    <w:rsid w:val="00AD6D28"/>
    <w:rsid w:val="00AE0238"/>
    <w:rsid w:val="00AE198B"/>
    <w:rsid w:val="00AE2716"/>
    <w:rsid w:val="00AE2A77"/>
    <w:rsid w:val="00AE3A66"/>
    <w:rsid w:val="00AE4866"/>
    <w:rsid w:val="00AE5E6B"/>
    <w:rsid w:val="00AE63D2"/>
    <w:rsid w:val="00AE7E94"/>
    <w:rsid w:val="00AF069E"/>
    <w:rsid w:val="00AF0B8A"/>
    <w:rsid w:val="00AF12C8"/>
    <w:rsid w:val="00AF1F86"/>
    <w:rsid w:val="00AF3373"/>
    <w:rsid w:val="00AF4B0D"/>
    <w:rsid w:val="00AF6525"/>
    <w:rsid w:val="00B02729"/>
    <w:rsid w:val="00B02D8D"/>
    <w:rsid w:val="00B032DA"/>
    <w:rsid w:val="00B04BB7"/>
    <w:rsid w:val="00B052E3"/>
    <w:rsid w:val="00B05787"/>
    <w:rsid w:val="00B05DC7"/>
    <w:rsid w:val="00B101A5"/>
    <w:rsid w:val="00B10BD2"/>
    <w:rsid w:val="00B119A5"/>
    <w:rsid w:val="00B11A2F"/>
    <w:rsid w:val="00B134B8"/>
    <w:rsid w:val="00B144E9"/>
    <w:rsid w:val="00B174BB"/>
    <w:rsid w:val="00B208E6"/>
    <w:rsid w:val="00B24451"/>
    <w:rsid w:val="00B275D3"/>
    <w:rsid w:val="00B30E17"/>
    <w:rsid w:val="00B319BB"/>
    <w:rsid w:val="00B322B4"/>
    <w:rsid w:val="00B3249E"/>
    <w:rsid w:val="00B342EF"/>
    <w:rsid w:val="00B36B63"/>
    <w:rsid w:val="00B36B73"/>
    <w:rsid w:val="00B417C4"/>
    <w:rsid w:val="00B4333C"/>
    <w:rsid w:val="00B45C76"/>
    <w:rsid w:val="00B463EA"/>
    <w:rsid w:val="00B47960"/>
    <w:rsid w:val="00B47CB2"/>
    <w:rsid w:val="00B517E9"/>
    <w:rsid w:val="00B56596"/>
    <w:rsid w:val="00B63371"/>
    <w:rsid w:val="00B6455A"/>
    <w:rsid w:val="00B64AD5"/>
    <w:rsid w:val="00B64C7A"/>
    <w:rsid w:val="00B7076B"/>
    <w:rsid w:val="00B70968"/>
    <w:rsid w:val="00B70B52"/>
    <w:rsid w:val="00B72AF5"/>
    <w:rsid w:val="00B7760B"/>
    <w:rsid w:val="00B8019B"/>
    <w:rsid w:val="00B8177A"/>
    <w:rsid w:val="00B81AD2"/>
    <w:rsid w:val="00B85806"/>
    <w:rsid w:val="00B86BA3"/>
    <w:rsid w:val="00B86C0D"/>
    <w:rsid w:val="00B87D78"/>
    <w:rsid w:val="00B90BEE"/>
    <w:rsid w:val="00B937E4"/>
    <w:rsid w:val="00B966C4"/>
    <w:rsid w:val="00B9709B"/>
    <w:rsid w:val="00B97A00"/>
    <w:rsid w:val="00BB0B8A"/>
    <w:rsid w:val="00BB1377"/>
    <w:rsid w:val="00BB4356"/>
    <w:rsid w:val="00BB582B"/>
    <w:rsid w:val="00BC372B"/>
    <w:rsid w:val="00BC5F19"/>
    <w:rsid w:val="00BC60B3"/>
    <w:rsid w:val="00BC6324"/>
    <w:rsid w:val="00BC6E1E"/>
    <w:rsid w:val="00BC7A05"/>
    <w:rsid w:val="00BD36BF"/>
    <w:rsid w:val="00BD4184"/>
    <w:rsid w:val="00BD484F"/>
    <w:rsid w:val="00BD5DE3"/>
    <w:rsid w:val="00BD6654"/>
    <w:rsid w:val="00BD69F6"/>
    <w:rsid w:val="00BD798F"/>
    <w:rsid w:val="00BE0837"/>
    <w:rsid w:val="00BE136F"/>
    <w:rsid w:val="00BE3311"/>
    <w:rsid w:val="00BE3381"/>
    <w:rsid w:val="00BE6D68"/>
    <w:rsid w:val="00BF1976"/>
    <w:rsid w:val="00BF1C10"/>
    <w:rsid w:val="00BF2626"/>
    <w:rsid w:val="00BF30F0"/>
    <w:rsid w:val="00BF67FE"/>
    <w:rsid w:val="00BF7191"/>
    <w:rsid w:val="00BF76B6"/>
    <w:rsid w:val="00C01378"/>
    <w:rsid w:val="00C024DA"/>
    <w:rsid w:val="00C04AE6"/>
    <w:rsid w:val="00C050CB"/>
    <w:rsid w:val="00C07DC1"/>
    <w:rsid w:val="00C13BC0"/>
    <w:rsid w:val="00C14A79"/>
    <w:rsid w:val="00C2067C"/>
    <w:rsid w:val="00C2157B"/>
    <w:rsid w:val="00C2177C"/>
    <w:rsid w:val="00C24C7D"/>
    <w:rsid w:val="00C26B87"/>
    <w:rsid w:val="00C27CEB"/>
    <w:rsid w:val="00C3185E"/>
    <w:rsid w:val="00C31900"/>
    <w:rsid w:val="00C32A00"/>
    <w:rsid w:val="00C32D4F"/>
    <w:rsid w:val="00C32DC5"/>
    <w:rsid w:val="00C3347C"/>
    <w:rsid w:val="00C33E64"/>
    <w:rsid w:val="00C34F35"/>
    <w:rsid w:val="00C35918"/>
    <w:rsid w:val="00C3627B"/>
    <w:rsid w:val="00C40DC7"/>
    <w:rsid w:val="00C43B28"/>
    <w:rsid w:val="00C43E84"/>
    <w:rsid w:val="00C44897"/>
    <w:rsid w:val="00C45CF8"/>
    <w:rsid w:val="00C4737A"/>
    <w:rsid w:val="00C477C7"/>
    <w:rsid w:val="00C50DA7"/>
    <w:rsid w:val="00C5221A"/>
    <w:rsid w:val="00C5298E"/>
    <w:rsid w:val="00C54A45"/>
    <w:rsid w:val="00C5554E"/>
    <w:rsid w:val="00C55AD6"/>
    <w:rsid w:val="00C5676D"/>
    <w:rsid w:val="00C568A6"/>
    <w:rsid w:val="00C60BD3"/>
    <w:rsid w:val="00C616F4"/>
    <w:rsid w:val="00C6180E"/>
    <w:rsid w:val="00C62274"/>
    <w:rsid w:val="00C63B56"/>
    <w:rsid w:val="00C64524"/>
    <w:rsid w:val="00C6686D"/>
    <w:rsid w:val="00C70F72"/>
    <w:rsid w:val="00C72284"/>
    <w:rsid w:val="00C75B35"/>
    <w:rsid w:val="00C8046F"/>
    <w:rsid w:val="00C807CE"/>
    <w:rsid w:val="00C81833"/>
    <w:rsid w:val="00C8726B"/>
    <w:rsid w:val="00C916C6"/>
    <w:rsid w:val="00C926A7"/>
    <w:rsid w:val="00C92CB6"/>
    <w:rsid w:val="00C953E5"/>
    <w:rsid w:val="00C95ED9"/>
    <w:rsid w:val="00CA40C4"/>
    <w:rsid w:val="00CA6518"/>
    <w:rsid w:val="00CA6B78"/>
    <w:rsid w:val="00CA7837"/>
    <w:rsid w:val="00CB24C0"/>
    <w:rsid w:val="00CB3080"/>
    <w:rsid w:val="00CB4FE3"/>
    <w:rsid w:val="00CB725C"/>
    <w:rsid w:val="00CC0ACF"/>
    <w:rsid w:val="00CC0DBC"/>
    <w:rsid w:val="00CC26BE"/>
    <w:rsid w:val="00CD1BCF"/>
    <w:rsid w:val="00CD5273"/>
    <w:rsid w:val="00CD5A3E"/>
    <w:rsid w:val="00CD7AE0"/>
    <w:rsid w:val="00CE0C0C"/>
    <w:rsid w:val="00CE3341"/>
    <w:rsid w:val="00CE58D6"/>
    <w:rsid w:val="00CE653C"/>
    <w:rsid w:val="00CE7E84"/>
    <w:rsid w:val="00CF1429"/>
    <w:rsid w:val="00CF1EBE"/>
    <w:rsid w:val="00CF35D1"/>
    <w:rsid w:val="00CF51A4"/>
    <w:rsid w:val="00CF57D0"/>
    <w:rsid w:val="00CF64EF"/>
    <w:rsid w:val="00D01228"/>
    <w:rsid w:val="00D01AD9"/>
    <w:rsid w:val="00D03A86"/>
    <w:rsid w:val="00D04D10"/>
    <w:rsid w:val="00D06AFF"/>
    <w:rsid w:val="00D0761D"/>
    <w:rsid w:val="00D10986"/>
    <w:rsid w:val="00D1159D"/>
    <w:rsid w:val="00D12A9A"/>
    <w:rsid w:val="00D1566E"/>
    <w:rsid w:val="00D2274A"/>
    <w:rsid w:val="00D24AB4"/>
    <w:rsid w:val="00D2551D"/>
    <w:rsid w:val="00D35BBD"/>
    <w:rsid w:val="00D3684B"/>
    <w:rsid w:val="00D408A6"/>
    <w:rsid w:val="00D40E1C"/>
    <w:rsid w:val="00D41225"/>
    <w:rsid w:val="00D420FD"/>
    <w:rsid w:val="00D42A5C"/>
    <w:rsid w:val="00D42E89"/>
    <w:rsid w:val="00D4328A"/>
    <w:rsid w:val="00D43579"/>
    <w:rsid w:val="00D43C06"/>
    <w:rsid w:val="00D44260"/>
    <w:rsid w:val="00D45471"/>
    <w:rsid w:val="00D45897"/>
    <w:rsid w:val="00D45B95"/>
    <w:rsid w:val="00D53C8D"/>
    <w:rsid w:val="00D54E6E"/>
    <w:rsid w:val="00D62E4B"/>
    <w:rsid w:val="00D669F9"/>
    <w:rsid w:val="00D66D3E"/>
    <w:rsid w:val="00D67F97"/>
    <w:rsid w:val="00D7019F"/>
    <w:rsid w:val="00D70C77"/>
    <w:rsid w:val="00D728AD"/>
    <w:rsid w:val="00D72D8E"/>
    <w:rsid w:val="00D7373E"/>
    <w:rsid w:val="00D76CF0"/>
    <w:rsid w:val="00D77C56"/>
    <w:rsid w:val="00D81562"/>
    <w:rsid w:val="00D823EF"/>
    <w:rsid w:val="00D8283B"/>
    <w:rsid w:val="00D84EC8"/>
    <w:rsid w:val="00D87B48"/>
    <w:rsid w:val="00D926AD"/>
    <w:rsid w:val="00DA2834"/>
    <w:rsid w:val="00DA321E"/>
    <w:rsid w:val="00DA3B3B"/>
    <w:rsid w:val="00DA4D55"/>
    <w:rsid w:val="00DA613D"/>
    <w:rsid w:val="00DB07EE"/>
    <w:rsid w:val="00DB1F08"/>
    <w:rsid w:val="00DB326D"/>
    <w:rsid w:val="00DB3987"/>
    <w:rsid w:val="00DB4598"/>
    <w:rsid w:val="00DB5A0D"/>
    <w:rsid w:val="00DC1944"/>
    <w:rsid w:val="00DC1AA8"/>
    <w:rsid w:val="00DC23B3"/>
    <w:rsid w:val="00DC4E22"/>
    <w:rsid w:val="00DD01FA"/>
    <w:rsid w:val="00DD13A4"/>
    <w:rsid w:val="00DD2A82"/>
    <w:rsid w:val="00DD63DE"/>
    <w:rsid w:val="00DE593E"/>
    <w:rsid w:val="00DE6108"/>
    <w:rsid w:val="00DE6B13"/>
    <w:rsid w:val="00DF4E10"/>
    <w:rsid w:val="00DF50BF"/>
    <w:rsid w:val="00DF618A"/>
    <w:rsid w:val="00DF74E6"/>
    <w:rsid w:val="00E00A32"/>
    <w:rsid w:val="00E00B2C"/>
    <w:rsid w:val="00E05185"/>
    <w:rsid w:val="00E056ED"/>
    <w:rsid w:val="00E06208"/>
    <w:rsid w:val="00E070DD"/>
    <w:rsid w:val="00E106ED"/>
    <w:rsid w:val="00E11A0E"/>
    <w:rsid w:val="00E12CB0"/>
    <w:rsid w:val="00E14C98"/>
    <w:rsid w:val="00E15596"/>
    <w:rsid w:val="00E15967"/>
    <w:rsid w:val="00E17FC1"/>
    <w:rsid w:val="00E20A8A"/>
    <w:rsid w:val="00E216D4"/>
    <w:rsid w:val="00E2191B"/>
    <w:rsid w:val="00E24EAC"/>
    <w:rsid w:val="00E26234"/>
    <w:rsid w:val="00E26A32"/>
    <w:rsid w:val="00E318AB"/>
    <w:rsid w:val="00E31E82"/>
    <w:rsid w:val="00E40B5D"/>
    <w:rsid w:val="00E43C14"/>
    <w:rsid w:val="00E43D7B"/>
    <w:rsid w:val="00E44D11"/>
    <w:rsid w:val="00E455A2"/>
    <w:rsid w:val="00E50E8A"/>
    <w:rsid w:val="00E533BA"/>
    <w:rsid w:val="00E539C9"/>
    <w:rsid w:val="00E5539D"/>
    <w:rsid w:val="00E567D4"/>
    <w:rsid w:val="00E577BA"/>
    <w:rsid w:val="00E62FAF"/>
    <w:rsid w:val="00E62FFC"/>
    <w:rsid w:val="00E63EA3"/>
    <w:rsid w:val="00E65F73"/>
    <w:rsid w:val="00E67808"/>
    <w:rsid w:val="00E67A4D"/>
    <w:rsid w:val="00E71596"/>
    <w:rsid w:val="00E734F6"/>
    <w:rsid w:val="00E74039"/>
    <w:rsid w:val="00E74226"/>
    <w:rsid w:val="00E804E5"/>
    <w:rsid w:val="00E81C9E"/>
    <w:rsid w:val="00E8203A"/>
    <w:rsid w:val="00E86C29"/>
    <w:rsid w:val="00E90116"/>
    <w:rsid w:val="00E906D7"/>
    <w:rsid w:val="00E94A87"/>
    <w:rsid w:val="00E951A4"/>
    <w:rsid w:val="00E955BC"/>
    <w:rsid w:val="00EA360A"/>
    <w:rsid w:val="00EA40F1"/>
    <w:rsid w:val="00EA6814"/>
    <w:rsid w:val="00EB0D93"/>
    <w:rsid w:val="00EB221B"/>
    <w:rsid w:val="00EB5269"/>
    <w:rsid w:val="00EB5829"/>
    <w:rsid w:val="00EB582A"/>
    <w:rsid w:val="00EB6A6A"/>
    <w:rsid w:val="00EB6B1B"/>
    <w:rsid w:val="00EC4591"/>
    <w:rsid w:val="00EC553B"/>
    <w:rsid w:val="00ED4B11"/>
    <w:rsid w:val="00EE0ACB"/>
    <w:rsid w:val="00EE0C7E"/>
    <w:rsid w:val="00EE1E3D"/>
    <w:rsid w:val="00EE4499"/>
    <w:rsid w:val="00EE5EB6"/>
    <w:rsid w:val="00EE67EE"/>
    <w:rsid w:val="00EE6919"/>
    <w:rsid w:val="00EE70B3"/>
    <w:rsid w:val="00EF27F7"/>
    <w:rsid w:val="00EF2A21"/>
    <w:rsid w:val="00EF3FF1"/>
    <w:rsid w:val="00EF5E0B"/>
    <w:rsid w:val="00EF61D5"/>
    <w:rsid w:val="00EF6EFA"/>
    <w:rsid w:val="00EF6F9F"/>
    <w:rsid w:val="00F0025B"/>
    <w:rsid w:val="00F01F9A"/>
    <w:rsid w:val="00F1286A"/>
    <w:rsid w:val="00F14402"/>
    <w:rsid w:val="00F16EF2"/>
    <w:rsid w:val="00F17360"/>
    <w:rsid w:val="00F17E93"/>
    <w:rsid w:val="00F2017F"/>
    <w:rsid w:val="00F203AD"/>
    <w:rsid w:val="00F20506"/>
    <w:rsid w:val="00F206FC"/>
    <w:rsid w:val="00F20B64"/>
    <w:rsid w:val="00F23E34"/>
    <w:rsid w:val="00F2406F"/>
    <w:rsid w:val="00F24EF1"/>
    <w:rsid w:val="00F35A9E"/>
    <w:rsid w:val="00F35C7C"/>
    <w:rsid w:val="00F369D5"/>
    <w:rsid w:val="00F37727"/>
    <w:rsid w:val="00F4217F"/>
    <w:rsid w:val="00F4264A"/>
    <w:rsid w:val="00F448E1"/>
    <w:rsid w:val="00F475A1"/>
    <w:rsid w:val="00F475F7"/>
    <w:rsid w:val="00F500D6"/>
    <w:rsid w:val="00F51F83"/>
    <w:rsid w:val="00F543B6"/>
    <w:rsid w:val="00F55B1F"/>
    <w:rsid w:val="00F56C8D"/>
    <w:rsid w:val="00F60336"/>
    <w:rsid w:val="00F62D22"/>
    <w:rsid w:val="00F6358F"/>
    <w:rsid w:val="00F647C0"/>
    <w:rsid w:val="00F64EE5"/>
    <w:rsid w:val="00F66B5C"/>
    <w:rsid w:val="00F67DB4"/>
    <w:rsid w:val="00F704D1"/>
    <w:rsid w:val="00F706D7"/>
    <w:rsid w:val="00F711A9"/>
    <w:rsid w:val="00F71888"/>
    <w:rsid w:val="00F72543"/>
    <w:rsid w:val="00F73238"/>
    <w:rsid w:val="00F76263"/>
    <w:rsid w:val="00F76604"/>
    <w:rsid w:val="00F77D89"/>
    <w:rsid w:val="00F77F32"/>
    <w:rsid w:val="00F82DC9"/>
    <w:rsid w:val="00F82F0D"/>
    <w:rsid w:val="00F84085"/>
    <w:rsid w:val="00F84F0D"/>
    <w:rsid w:val="00F91A0E"/>
    <w:rsid w:val="00F927D4"/>
    <w:rsid w:val="00F94A3E"/>
    <w:rsid w:val="00FA16E4"/>
    <w:rsid w:val="00FA2F07"/>
    <w:rsid w:val="00FA7EA4"/>
    <w:rsid w:val="00FB2430"/>
    <w:rsid w:val="00FB2887"/>
    <w:rsid w:val="00FB2FBF"/>
    <w:rsid w:val="00FB4E2F"/>
    <w:rsid w:val="00FB5111"/>
    <w:rsid w:val="00FC2290"/>
    <w:rsid w:val="00FC536B"/>
    <w:rsid w:val="00FC6ADE"/>
    <w:rsid w:val="00FC7292"/>
    <w:rsid w:val="00FC7C05"/>
    <w:rsid w:val="00FD0A2A"/>
    <w:rsid w:val="00FD1A01"/>
    <w:rsid w:val="00FD24BD"/>
    <w:rsid w:val="00FD3D48"/>
    <w:rsid w:val="00FD610E"/>
    <w:rsid w:val="00FD6BD6"/>
    <w:rsid w:val="00FE0881"/>
    <w:rsid w:val="00FE0EE7"/>
    <w:rsid w:val="00FE1092"/>
    <w:rsid w:val="00FE30B4"/>
    <w:rsid w:val="00FE6403"/>
    <w:rsid w:val="00FF0847"/>
    <w:rsid w:val="00FF0E78"/>
    <w:rsid w:val="00FF2BF3"/>
    <w:rsid w:val="00FF7F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7D4"/>
  </w:style>
  <w:style w:type="paragraph" w:styleId="Heading1">
    <w:name w:val="heading 1"/>
    <w:basedOn w:val="Normal"/>
    <w:link w:val="Heading1Char"/>
    <w:uiPriority w:val="9"/>
    <w:qFormat/>
    <w:rsid w:val="00C26B8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927D4"/>
    <w:pPr>
      <w:spacing w:after="0" w:line="240" w:lineRule="auto"/>
    </w:pPr>
  </w:style>
  <w:style w:type="paragraph" w:customStyle="1" w:styleId="BodyA">
    <w:name w:val="Body A"/>
    <w:rsid w:val="00F927D4"/>
    <w:rPr>
      <w:rFonts w:ascii="Calibri" w:eastAsia="Calibri" w:hAnsi="Calibri" w:cs="Calibri"/>
      <w:color w:val="000000"/>
      <w:u w:color="000000"/>
    </w:rPr>
  </w:style>
  <w:style w:type="character" w:styleId="CommentReference">
    <w:name w:val="annotation reference"/>
    <w:basedOn w:val="DefaultParagraphFont"/>
    <w:uiPriority w:val="99"/>
    <w:semiHidden/>
    <w:unhideWhenUsed/>
    <w:rsid w:val="00F927D4"/>
    <w:rPr>
      <w:sz w:val="16"/>
      <w:szCs w:val="16"/>
    </w:rPr>
  </w:style>
  <w:style w:type="paragraph" w:styleId="CommentText">
    <w:name w:val="annotation text"/>
    <w:basedOn w:val="Normal"/>
    <w:link w:val="CommentTextChar"/>
    <w:uiPriority w:val="99"/>
    <w:semiHidden/>
    <w:unhideWhenUsed/>
    <w:rsid w:val="00F927D4"/>
    <w:pPr>
      <w:spacing w:line="240" w:lineRule="auto"/>
    </w:pPr>
    <w:rPr>
      <w:sz w:val="20"/>
      <w:szCs w:val="20"/>
    </w:rPr>
  </w:style>
  <w:style w:type="character" w:customStyle="1" w:styleId="CommentTextChar">
    <w:name w:val="Comment Text Char"/>
    <w:basedOn w:val="DefaultParagraphFont"/>
    <w:link w:val="CommentText"/>
    <w:uiPriority w:val="99"/>
    <w:semiHidden/>
    <w:rsid w:val="00F927D4"/>
    <w:rPr>
      <w:sz w:val="20"/>
      <w:szCs w:val="20"/>
    </w:rPr>
  </w:style>
  <w:style w:type="paragraph" w:styleId="BalloonText">
    <w:name w:val="Balloon Text"/>
    <w:basedOn w:val="Normal"/>
    <w:link w:val="BalloonTextChar"/>
    <w:uiPriority w:val="99"/>
    <w:semiHidden/>
    <w:unhideWhenUsed/>
    <w:rsid w:val="00F927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27D4"/>
    <w:rPr>
      <w:rFonts w:ascii="Tahoma" w:hAnsi="Tahoma" w:cs="Tahoma"/>
      <w:sz w:val="16"/>
      <w:szCs w:val="16"/>
    </w:rPr>
  </w:style>
  <w:style w:type="paragraph" w:styleId="FootnoteText">
    <w:name w:val="footnote text"/>
    <w:basedOn w:val="Normal"/>
    <w:link w:val="FootnoteTextChar"/>
    <w:uiPriority w:val="99"/>
    <w:unhideWhenUsed/>
    <w:rsid w:val="00F927D4"/>
    <w:pPr>
      <w:spacing w:after="0" w:line="240" w:lineRule="auto"/>
    </w:pPr>
    <w:rPr>
      <w:sz w:val="20"/>
      <w:szCs w:val="20"/>
    </w:rPr>
  </w:style>
  <w:style w:type="character" w:customStyle="1" w:styleId="FootnoteTextChar">
    <w:name w:val="Footnote Text Char"/>
    <w:basedOn w:val="DefaultParagraphFont"/>
    <w:link w:val="FootnoteText"/>
    <w:uiPriority w:val="99"/>
    <w:rsid w:val="00F927D4"/>
    <w:rPr>
      <w:sz w:val="20"/>
      <w:szCs w:val="20"/>
    </w:rPr>
  </w:style>
  <w:style w:type="character" w:styleId="FootnoteReference">
    <w:name w:val="footnote reference"/>
    <w:basedOn w:val="DefaultParagraphFont"/>
    <w:uiPriority w:val="99"/>
    <w:unhideWhenUsed/>
    <w:rsid w:val="00F927D4"/>
    <w:rPr>
      <w:vertAlign w:val="superscript"/>
    </w:rPr>
  </w:style>
  <w:style w:type="paragraph" w:styleId="ListParagraph">
    <w:name w:val="List Paragraph"/>
    <w:basedOn w:val="Normal"/>
    <w:uiPriority w:val="34"/>
    <w:qFormat/>
    <w:rsid w:val="00590131"/>
    <w:pPr>
      <w:spacing w:after="0" w:line="240" w:lineRule="auto"/>
      <w:ind w:left="720"/>
    </w:pPr>
    <w:rPr>
      <w:rFonts w:ascii="Calibri" w:eastAsia="Times New Roman" w:hAnsi="Calibri" w:cs="Times New Roman"/>
    </w:rPr>
  </w:style>
  <w:style w:type="character" w:styleId="Hyperlink">
    <w:name w:val="Hyperlink"/>
    <w:basedOn w:val="DefaultParagraphFont"/>
    <w:uiPriority w:val="99"/>
    <w:unhideWhenUsed/>
    <w:rsid w:val="00590131"/>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196046"/>
    <w:rPr>
      <w:b/>
      <w:bCs/>
    </w:rPr>
  </w:style>
  <w:style w:type="character" w:customStyle="1" w:styleId="CommentSubjectChar">
    <w:name w:val="Comment Subject Char"/>
    <w:basedOn w:val="CommentTextChar"/>
    <w:link w:val="CommentSubject"/>
    <w:uiPriority w:val="99"/>
    <w:semiHidden/>
    <w:rsid w:val="00196046"/>
    <w:rPr>
      <w:b/>
      <w:bCs/>
      <w:sz w:val="20"/>
      <w:szCs w:val="20"/>
    </w:rPr>
  </w:style>
  <w:style w:type="paragraph" w:styleId="Header">
    <w:name w:val="header"/>
    <w:basedOn w:val="Normal"/>
    <w:link w:val="HeaderChar"/>
    <w:uiPriority w:val="99"/>
    <w:unhideWhenUsed/>
    <w:rsid w:val="00A757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570E"/>
  </w:style>
  <w:style w:type="paragraph" w:styleId="Footer">
    <w:name w:val="footer"/>
    <w:basedOn w:val="Normal"/>
    <w:link w:val="FooterChar"/>
    <w:uiPriority w:val="99"/>
    <w:unhideWhenUsed/>
    <w:rsid w:val="00A757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570E"/>
  </w:style>
  <w:style w:type="paragraph" w:customStyle="1" w:styleId="Default">
    <w:name w:val="Default"/>
    <w:rsid w:val="0075749E"/>
    <w:pPr>
      <w:autoSpaceDE w:val="0"/>
      <w:autoSpaceDN w:val="0"/>
      <w:adjustRightInd w:val="0"/>
      <w:spacing w:after="0" w:line="240" w:lineRule="auto"/>
    </w:pPr>
    <w:rPr>
      <w:rFonts w:ascii="Georgia" w:hAnsi="Georgia" w:cs="Georgia"/>
      <w:color w:val="000000"/>
      <w:sz w:val="24"/>
      <w:szCs w:val="24"/>
    </w:rPr>
  </w:style>
  <w:style w:type="character" w:customStyle="1" w:styleId="NoSpacingChar">
    <w:name w:val="No Spacing Char"/>
    <w:basedOn w:val="DefaultParagraphFont"/>
    <w:link w:val="NoSpacing"/>
    <w:uiPriority w:val="1"/>
    <w:rsid w:val="00D42E89"/>
  </w:style>
  <w:style w:type="paragraph" w:styleId="Caption">
    <w:name w:val="caption"/>
    <w:basedOn w:val="Normal"/>
    <w:next w:val="Normal"/>
    <w:uiPriority w:val="35"/>
    <w:unhideWhenUsed/>
    <w:qFormat/>
    <w:rsid w:val="00AE0238"/>
    <w:pPr>
      <w:spacing w:after="180" w:line="264" w:lineRule="auto"/>
    </w:pPr>
    <w:rPr>
      <w:rFonts w:cs="Times New Roman"/>
      <w:b/>
      <w:bCs/>
      <w:caps/>
      <w:sz w:val="16"/>
      <w:szCs w:val="18"/>
      <w:lang w:eastAsia="ja-JP"/>
    </w:rPr>
  </w:style>
  <w:style w:type="character" w:styleId="FollowedHyperlink">
    <w:name w:val="FollowedHyperlink"/>
    <w:basedOn w:val="DefaultParagraphFont"/>
    <w:uiPriority w:val="99"/>
    <w:semiHidden/>
    <w:unhideWhenUsed/>
    <w:rsid w:val="00155FBB"/>
    <w:rPr>
      <w:color w:val="800080" w:themeColor="followedHyperlink"/>
      <w:u w:val="single"/>
    </w:rPr>
  </w:style>
  <w:style w:type="character" w:customStyle="1" w:styleId="apple-converted-space">
    <w:name w:val="apple-converted-space"/>
    <w:basedOn w:val="DefaultParagraphFont"/>
    <w:rsid w:val="006B0473"/>
  </w:style>
  <w:style w:type="paragraph" w:styleId="NormalWeb">
    <w:name w:val="Normal (Web)"/>
    <w:basedOn w:val="Normal"/>
    <w:uiPriority w:val="99"/>
    <w:semiHidden/>
    <w:unhideWhenUsed/>
    <w:rsid w:val="000640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C26B87"/>
    <w:rPr>
      <w:rFonts w:ascii="Times New Roman" w:eastAsia="Times New Roman" w:hAnsi="Times New Roman" w:cs="Times New Roman"/>
      <w:b/>
      <w:bCs/>
      <w:kern w:val="36"/>
      <w:sz w:val="48"/>
      <w:szCs w:val="48"/>
    </w:rPr>
  </w:style>
  <w:style w:type="paragraph" w:styleId="PlainText">
    <w:name w:val="Plain Text"/>
    <w:basedOn w:val="Normal"/>
    <w:link w:val="PlainTextChar"/>
    <w:uiPriority w:val="99"/>
    <w:unhideWhenUsed/>
    <w:rsid w:val="00A33D9B"/>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A33D9B"/>
    <w:rPr>
      <w:rFonts w:ascii="Calibri" w:hAnsi="Calibri" w:cs="Consolas"/>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7D4"/>
  </w:style>
  <w:style w:type="paragraph" w:styleId="Heading1">
    <w:name w:val="heading 1"/>
    <w:basedOn w:val="Normal"/>
    <w:link w:val="Heading1Char"/>
    <w:uiPriority w:val="9"/>
    <w:qFormat/>
    <w:rsid w:val="00C26B8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927D4"/>
    <w:pPr>
      <w:spacing w:after="0" w:line="240" w:lineRule="auto"/>
    </w:pPr>
  </w:style>
  <w:style w:type="paragraph" w:customStyle="1" w:styleId="BodyA">
    <w:name w:val="Body A"/>
    <w:rsid w:val="00F927D4"/>
    <w:rPr>
      <w:rFonts w:ascii="Calibri" w:eastAsia="Calibri" w:hAnsi="Calibri" w:cs="Calibri"/>
      <w:color w:val="000000"/>
      <w:u w:color="000000"/>
    </w:rPr>
  </w:style>
  <w:style w:type="character" w:styleId="CommentReference">
    <w:name w:val="annotation reference"/>
    <w:basedOn w:val="DefaultParagraphFont"/>
    <w:uiPriority w:val="99"/>
    <w:semiHidden/>
    <w:unhideWhenUsed/>
    <w:rsid w:val="00F927D4"/>
    <w:rPr>
      <w:sz w:val="16"/>
      <w:szCs w:val="16"/>
    </w:rPr>
  </w:style>
  <w:style w:type="paragraph" w:styleId="CommentText">
    <w:name w:val="annotation text"/>
    <w:basedOn w:val="Normal"/>
    <w:link w:val="CommentTextChar"/>
    <w:uiPriority w:val="99"/>
    <w:semiHidden/>
    <w:unhideWhenUsed/>
    <w:rsid w:val="00F927D4"/>
    <w:pPr>
      <w:spacing w:line="240" w:lineRule="auto"/>
    </w:pPr>
    <w:rPr>
      <w:sz w:val="20"/>
      <w:szCs w:val="20"/>
    </w:rPr>
  </w:style>
  <w:style w:type="character" w:customStyle="1" w:styleId="CommentTextChar">
    <w:name w:val="Comment Text Char"/>
    <w:basedOn w:val="DefaultParagraphFont"/>
    <w:link w:val="CommentText"/>
    <w:uiPriority w:val="99"/>
    <w:semiHidden/>
    <w:rsid w:val="00F927D4"/>
    <w:rPr>
      <w:sz w:val="20"/>
      <w:szCs w:val="20"/>
    </w:rPr>
  </w:style>
  <w:style w:type="paragraph" w:styleId="BalloonText">
    <w:name w:val="Balloon Text"/>
    <w:basedOn w:val="Normal"/>
    <w:link w:val="BalloonTextChar"/>
    <w:uiPriority w:val="99"/>
    <w:semiHidden/>
    <w:unhideWhenUsed/>
    <w:rsid w:val="00F927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27D4"/>
    <w:rPr>
      <w:rFonts w:ascii="Tahoma" w:hAnsi="Tahoma" w:cs="Tahoma"/>
      <w:sz w:val="16"/>
      <w:szCs w:val="16"/>
    </w:rPr>
  </w:style>
  <w:style w:type="paragraph" w:styleId="FootnoteText">
    <w:name w:val="footnote text"/>
    <w:basedOn w:val="Normal"/>
    <w:link w:val="FootnoteTextChar"/>
    <w:uiPriority w:val="99"/>
    <w:unhideWhenUsed/>
    <w:rsid w:val="00F927D4"/>
    <w:pPr>
      <w:spacing w:after="0" w:line="240" w:lineRule="auto"/>
    </w:pPr>
    <w:rPr>
      <w:sz w:val="20"/>
      <w:szCs w:val="20"/>
    </w:rPr>
  </w:style>
  <w:style w:type="character" w:customStyle="1" w:styleId="FootnoteTextChar">
    <w:name w:val="Footnote Text Char"/>
    <w:basedOn w:val="DefaultParagraphFont"/>
    <w:link w:val="FootnoteText"/>
    <w:uiPriority w:val="99"/>
    <w:rsid w:val="00F927D4"/>
    <w:rPr>
      <w:sz w:val="20"/>
      <w:szCs w:val="20"/>
    </w:rPr>
  </w:style>
  <w:style w:type="character" w:styleId="FootnoteReference">
    <w:name w:val="footnote reference"/>
    <w:basedOn w:val="DefaultParagraphFont"/>
    <w:uiPriority w:val="99"/>
    <w:unhideWhenUsed/>
    <w:rsid w:val="00F927D4"/>
    <w:rPr>
      <w:vertAlign w:val="superscript"/>
    </w:rPr>
  </w:style>
  <w:style w:type="paragraph" w:styleId="ListParagraph">
    <w:name w:val="List Paragraph"/>
    <w:basedOn w:val="Normal"/>
    <w:uiPriority w:val="34"/>
    <w:qFormat/>
    <w:rsid w:val="00590131"/>
    <w:pPr>
      <w:spacing w:after="0" w:line="240" w:lineRule="auto"/>
      <w:ind w:left="720"/>
    </w:pPr>
    <w:rPr>
      <w:rFonts w:ascii="Calibri" w:eastAsia="Times New Roman" w:hAnsi="Calibri" w:cs="Times New Roman"/>
    </w:rPr>
  </w:style>
  <w:style w:type="character" w:styleId="Hyperlink">
    <w:name w:val="Hyperlink"/>
    <w:basedOn w:val="DefaultParagraphFont"/>
    <w:uiPriority w:val="99"/>
    <w:unhideWhenUsed/>
    <w:rsid w:val="00590131"/>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196046"/>
    <w:rPr>
      <w:b/>
      <w:bCs/>
    </w:rPr>
  </w:style>
  <w:style w:type="character" w:customStyle="1" w:styleId="CommentSubjectChar">
    <w:name w:val="Comment Subject Char"/>
    <w:basedOn w:val="CommentTextChar"/>
    <w:link w:val="CommentSubject"/>
    <w:uiPriority w:val="99"/>
    <w:semiHidden/>
    <w:rsid w:val="00196046"/>
    <w:rPr>
      <w:b/>
      <w:bCs/>
      <w:sz w:val="20"/>
      <w:szCs w:val="20"/>
    </w:rPr>
  </w:style>
  <w:style w:type="paragraph" w:styleId="Header">
    <w:name w:val="header"/>
    <w:basedOn w:val="Normal"/>
    <w:link w:val="HeaderChar"/>
    <w:uiPriority w:val="99"/>
    <w:unhideWhenUsed/>
    <w:rsid w:val="00A757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570E"/>
  </w:style>
  <w:style w:type="paragraph" w:styleId="Footer">
    <w:name w:val="footer"/>
    <w:basedOn w:val="Normal"/>
    <w:link w:val="FooterChar"/>
    <w:uiPriority w:val="99"/>
    <w:unhideWhenUsed/>
    <w:rsid w:val="00A757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570E"/>
  </w:style>
  <w:style w:type="paragraph" w:customStyle="1" w:styleId="Default">
    <w:name w:val="Default"/>
    <w:rsid w:val="0075749E"/>
    <w:pPr>
      <w:autoSpaceDE w:val="0"/>
      <w:autoSpaceDN w:val="0"/>
      <w:adjustRightInd w:val="0"/>
      <w:spacing w:after="0" w:line="240" w:lineRule="auto"/>
    </w:pPr>
    <w:rPr>
      <w:rFonts w:ascii="Georgia" w:hAnsi="Georgia" w:cs="Georgia"/>
      <w:color w:val="000000"/>
      <w:sz w:val="24"/>
      <w:szCs w:val="24"/>
    </w:rPr>
  </w:style>
  <w:style w:type="character" w:customStyle="1" w:styleId="NoSpacingChar">
    <w:name w:val="No Spacing Char"/>
    <w:basedOn w:val="DefaultParagraphFont"/>
    <w:link w:val="NoSpacing"/>
    <w:uiPriority w:val="1"/>
    <w:rsid w:val="00D42E89"/>
  </w:style>
  <w:style w:type="paragraph" w:styleId="Caption">
    <w:name w:val="caption"/>
    <w:basedOn w:val="Normal"/>
    <w:next w:val="Normal"/>
    <w:uiPriority w:val="35"/>
    <w:unhideWhenUsed/>
    <w:qFormat/>
    <w:rsid w:val="00AE0238"/>
    <w:pPr>
      <w:spacing w:after="180" w:line="264" w:lineRule="auto"/>
    </w:pPr>
    <w:rPr>
      <w:rFonts w:cs="Times New Roman"/>
      <w:b/>
      <w:bCs/>
      <w:caps/>
      <w:sz w:val="16"/>
      <w:szCs w:val="18"/>
      <w:lang w:eastAsia="ja-JP"/>
    </w:rPr>
  </w:style>
  <w:style w:type="character" w:styleId="FollowedHyperlink">
    <w:name w:val="FollowedHyperlink"/>
    <w:basedOn w:val="DefaultParagraphFont"/>
    <w:uiPriority w:val="99"/>
    <w:semiHidden/>
    <w:unhideWhenUsed/>
    <w:rsid w:val="00155FBB"/>
    <w:rPr>
      <w:color w:val="800080" w:themeColor="followedHyperlink"/>
      <w:u w:val="single"/>
    </w:rPr>
  </w:style>
  <w:style w:type="character" w:customStyle="1" w:styleId="apple-converted-space">
    <w:name w:val="apple-converted-space"/>
    <w:basedOn w:val="DefaultParagraphFont"/>
    <w:rsid w:val="006B0473"/>
  </w:style>
  <w:style w:type="paragraph" w:styleId="NormalWeb">
    <w:name w:val="Normal (Web)"/>
    <w:basedOn w:val="Normal"/>
    <w:uiPriority w:val="99"/>
    <w:semiHidden/>
    <w:unhideWhenUsed/>
    <w:rsid w:val="000640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C26B87"/>
    <w:rPr>
      <w:rFonts w:ascii="Times New Roman" w:eastAsia="Times New Roman" w:hAnsi="Times New Roman" w:cs="Times New Roman"/>
      <w:b/>
      <w:bCs/>
      <w:kern w:val="36"/>
      <w:sz w:val="48"/>
      <w:szCs w:val="48"/>
    </w:rPr>
  </w:style>
  <w:style w:type="paragraph" w:styleId="PlainText">
    <w:name w:val="Plain Text"/>
    <w:basedOn w:val="Normal"/>
    <w:link w:val="PlainTextChar"/>
    <w:uiPriority w:val="99"/>
    <w:unhideWhenUsed/>
    <w:rsid w:val="00A33D9B"/>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A33D9B"/>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09079">
      <w:bodyDiv w:val="1"/>
      <w:marLeft w:val="0"/>
      <w:marRight w:val="0"/>
      <w:marTop w:val="0"/>
      <w:marBottom w:val="0"/>
      <w:divBdr>
        <w:top w:val="none" w:sz="0" w:space="0" w:color="auto"/>
        <w:left w:val="none" w:sz="0" w:space="0" w:color="auto"/>
        <w:bottom w:val="none" w:sz="0" w:space="0" w:color="auto"/>
        <w:right w:val="none" w:sz="0" w:space="0" w:color="auto"/>
      </w:divBdr>
    </w:div>
    <w:div w:id="229580955">
      <w:bodyDiv w:val="1"/>
      <w:marLeft w:val="0"/>
      <w:marRight w:val="0"/>
      <w:marTop w:val="0"/>
      <w:marBottom w:val="0"/>
      <w:divBdr>
        <w:top w:val="none" w:sz="0" w:space="0" w:color="auto"/>
        <w:left w:val="none" w:sz="0" w:space="0" w:color="auto"/>
        <w:bottom w:val="none" w:sz="0" w:space="0" w:color="auto"/>
        <w:right w:val="none" w:sz="0" w:space="0" w:color="auto"/>
      </w:divBdr>
    </w:div>
    <w:div w:id="394596186">
      <w:bodyDiv w:val="1"/>
      <w:marLeft w:val="0"/>
      <w:marRight w:val="0"/>
      <w:marTop w:val="0"/>
      <w:marBottom w:val="0"/>
      <w:divBdr>
        <w:top w:val="none" w:sz="0" w:space="0" w:color="auto"/>
        <w:left w:val="none" w:sz="0" w:space="0" w:color="auto"/>
        <w:bottom w:val="none" w:sz="0" w:space="0" w:color="auto"/>
        <w:right w:val="none" w:sz="0" w:space="0" w:color="auto"/>
      </w:divBdr>
    </w:div>
    <w:div w:id="504905847">
      <w:bodyDiv w:val="1"/>
      <w:marLeft w:val="0"/>
      <w:marRight w:val="0"/>
      <w:marTop w:val="0"/>
      <w:marBottom w:val="0"/>
      <w:divBdr>
        <w:top w:val="none" w:sz="0" w:space="0" w:color="auto"/>
        <w:left w:val="none" w:sz="0" w:space="0" w:color="auto"/>
        <w:bottom w:val="none" w:sz="0" w:space="0" w:color="auto"/>
        <w:right w:val="none" w:sz="0" w:space="0" w:color="auto"/>
      </w:divBdr>
    </w:div>
    <w:div w:id="517819672">
      <w:bodyDiv w:val="1"/>
      <w:marLeft w:val="0"/>
      <w:marRight w:val="0"/>
      <w:marTop w:val="0"/>
      <w:marBottom w:val="0"/>
      <w:divBdr>
        <w:top w:val="none" w:sz="0" w:space="0" w:color="auto"/>
        <w:left w:val="none" w:sz="0" w:space="0" w:color="auto"/>
        <w:bottom w:val="none" w:sz="0" w:space="0" w:color="auto"/>
        <w:right w:val="none" w:sz="0" w:space="0" w:color="auto"/>
      </w:divBdr>
    </w:div>
    <w:div w:id="642539070">
      <w:bodyDiv w:val="1"/>
      <w:marLeft w:val="150"/>
      <w:marRight w:val="150"/>
      <w:marTop w:val="0"/>
      <w:marBottom w:val="0"/>
      <w:divBdr>
        <w:top w:val="none" w:sz="0" w:space="0" w:color="auto"/>
        <w:left w:val="none" w:sz="0" w:space="0" w:color="auto"/>
        <w:bottom w:val="none" w:sz="0" w:space="0" w:color="auto"/>
        <w:right w:val="none" w:sz="0" w:space="0" w:color="auto"/>
      </w:divBdr>
      <w:divsChild>
        <w:div w:id="270474693">
          <w:marLeft w:val="0"/>
          <w:marRight w:val="0"/>
          <w:marTop w:val="0"/>
          <w:marBottom w:val="0"/>
          <w:divBdr>
            <w:top w:val="none" w:sz="0" w:space="0" w:color="auto"/>
            <w:left w:val="none" w:sz="0" w:space="0" w:color="auto"/>
            <w:bottom w:val="none" w:sz="0" w:space="0" w:color="auto"/>
            <w:right w:val="none" w:sz="0" w:space="0" w:color="auto"/>
          </w:divBdr>
          <w:divsChild>
            <w:div w:id="248930511">
              <w:marLeft w:val="0"/>
              <w:marRight w:val="0"/>
              <w:marTop w:val="0"/>
              <w:marBottom w:val="0"/>
              <w:divBdr>
                <w:top w:val="single" w:sz="18" w:space="0" w:color="auto"/>
                <w:left w:val="none" w:sz="0" w:space="0" w:color="auto"/>
                <w:bottom w:val="single" w:sz="12" w:space="0" w:color="207E9C"/>
                <w:right w:val="none" w:sz="0" w:space="0" w:color="auto"/>
              </w:divBdr>
              <w:divsChild>
                <w:div w:id="270741917">
                  <w:marLeft w:val="0"/>
                  <w:marRight w:val="0"/>
                  <w:marTop w:val="0"/>
                  <w:marBottom w:val="150"/>
                  <w:divBdr>
                    <w:top w:val="single" w:sz="18" w:space="0" w:color="222222"/>
                    <w:left w:val="none" w:sz="0" w:space="0" w:color="auto"/>
                    <w:bottom w:val="none" w:sz="0" w:space="0" w:color="auto"/>
                    <w:right w:val="none" w:sz="0" w:space="0" w:color="auto"/>
                  </w:divBdr>
                  <w:divsChild>
                    <w:div w:id="1044329883">
                      <w:marLeft w:val="0"/>
                      <w:marRight w:val="0"/>
                      <w:marTop w:val="0"/>
                      <w:marBottom w:val="0"/>
                      <w:divBdr>
                        <w:top w:val="none" w:sz="0" w:space="0" w:color="auto"/>
                        <w:left w:val="none" w:sz="0" w:space="0" w:color="auto"/>
                        <w:bottom w:val="none" w:sz="0" w:space="0" w:color="auto"/>
                        <w:right w:val="none" w:sz="0" w:space="0" w:color="auto"/>
                      </w:divBdr>
                      <w:divsChild>
                        <w:div w:id="211818903">
                          <w:marLeft w:val="0"/>
                          <w:marRight w:val="0"/>
                          <w:marTop w:val="0"/>
                          <w:marBottom w:val="0"/>
                          <w:divBdr>
                            <w:top w:val="none" w:sz="0" w:space="0" w:color="auto"/>
                            <w:left w:val="none" w:sz="0" w:space="0" w:color="auto"/>
                            <w:bottom w:val="none" w:sz="0" w:space="0" w:color="auto"/>
                            <w:right w:val="none" w:sz="0" w:space="0" w:color="auto"/>
                          </w:divBdr>
                          <w:divsChild>
                            <w:div w:id="108226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2967571">
      <w:bodyDiv w:val="1"/>
      <w:marLeft w:val="0"/>
      <w:marRight w:val="0"/>
      <w:marTop w:val="0"/>
      <w:marBottom w:val="0"/>
      <w:divBdr>
        <w:top w:val="none" w:sz="0" w:space="0" w:color="auto"/>
        <w:left w:val="none" w:sz="0" w:space="0" w:color="auto"/>
        <w:bottom w:val="none" w:sz="0" w:space="0" w:color="auto"/>
        <w:right w:val="none" w:sz="0" w:space="0" w:color="auto"/>
      </w:divBdr>
    </w:div>
    <w:div w:id="1057162930">
      <w:bodyDiv w:val="1"/>
      <w:marLeft w:val="0"/>
      <w:marRight w:val="0"/>
      <w:marTop w:val="0"/>
      <w:marBottom w:val="0"/>
      <w:divBdr>
        <w:top w:val="none" w:sz="0" w:space="0" w:color="auto"/>
        <w:left w:val="none" w:sz="0" w:space="0" w:color="auto"/>
        <w:bottom w:val="none" w:sz="0" w:space="0" w:color="auto"/>
        <w:right w:val="none" w:sz="0" w:space="0" w:color="auto"/>
      </w:divBdr>
    </w:div>
    <w:div w:id="1090005332">
      <w:bodyDiv w:val="1"/>
      <w:marLeft w:val="0"/>
      <w:marRight w:val="0"/>
      <w:marTop w:val="0"/>
      <w:marBottom w:val="0"/>
      <w:divBdr>
        <w:top w:val="none" w:sz="0" w:space="0" w:color="auto"/>
        <w:left w:val="none" w:sz="0" w:space="0" w:color="auto"/>
        <w:bottom w:val="none" w:sz="0" w:space="0" w:color="auto"/>
        <w:right w:val="none" w:sz="0" w:space="0" w:color="auto"/>
      </w:divBdr>
    </w:div>
    <w:div w:id="1314676372">
      <w:bodyDiv w:val="1"/>
      <w:marLeft w:val="0"/>
      <w:marRight w:val="0"/>
      <w:marTop w:val="0"/>
      <w:marBottom w:val="0"/>
      <w:divBdr>
        <w:top w:val="none" w:sz="0" w:space="0" w:color="auto"/>
        <w:left w:val="none" w:sz="0" w:space="0" w:color="auto"/>
        <w:bottom w:val="none" w:sz="0" w:space="0" w:color="auto"/>
        <w:right w:val="none" w:sz="0" w:space="0" w:color="auto"/>
      </w:divBdr>
    </w:div>
    <w:div w:id="1315454554">
      <w:bodyDiv w:val="1"/>
      <w:marLeft w:val="0"/>
      <w:marRight w:val="0"/>
      <w:marTop w:val="0"/>
      <w:marBottom w:val="0"/>
      <w:divBdr>
        <w:top w:val="none" w:sz="0" w:space="0" w:color="auto"/>
        <w:left w:val="none" w:sz="0" w:space="0" w:color="auto"/>
        <w:bottom w:val="none" w:sz="0" w:space="0" w:color="auto"/>
        <w:right w:val="none" w:sz="0" w:space="0" w:color="auto"/>
      </w:divBdr>
    </w:div>
    <w:div w:id="1326394205">
      <w:bodyDiv w:val="1"/>
      <w:marLeft w:val="0"/>
      <w:marRight w:val="0"/>
      <w:marTop w:val="0"/>
      <w:marBottom w:val="0"/>
      <w:divBdr>
        <w:top w:val="none" w:sz="0" w:space="0" w:color="auto"/>
        <w:left w:val="none" w:sz="0" w:space="0" w:color="auto"/>
        <w:bottom w:val="none" w:sz="0" w:space="0" w:color="auto"/>
        <w:right w:val="none" w:sz="0" w:space="0" w:color="auto"/>
      </w:divBdr>
    </w:div>
    <w:div w:id="1592154576">
      <w:bodyDiv w:val="1"/>
      <w:marLeft w:val="0"/>
      <w:marRight w:val="0"/>
      <w:marTop w:val="0"/>
      <w:marBottom w:val="0"/>
      <w:divBdr>
        <w:top w:val="none" w:sz="0" w:space="0" w:color="auto"/>
        <w:left w:val="none" w:sz="0" w:space="0" w:color="auto"/>
        <w:bottom w:val="none" w:sz="0" w:space="0" w:color="auto"/>
        <w:right w:val="none" w:sz="0" w:space="0" w:color="auto"/>
      </w:divBdr>
    </w:div>
    <w:div w:id="1764295862">
      <w:bodyDiv w:val="1"/>
      <w:marLeft w:val="0"/>
      <w:marRight w:val="0"/>
      <w:marTop w:val="0"/>
      <w:marBottom w:val="0"/>
      <w:divBdr>
        <w:top w:val="none" w:sz="0" w:space="0" w:color="auto"/>
        <w:left w:val="none" w:sz="0" w:space="0" w:color="auto"/>
        <w:bottom w:val="none" w:sz="0" w:space="0" w:color="auto"/>
        <w:right w:val="none" w:sz="0" w:space="0" w:color="auto"/>
      </w:divBdr>
    </w:div>
    <w:div w:id="194703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na14.salesforce.com/006d00000075K3q" TargetMode="External"/><Relationship Id="rId13" Type="http://schemas.openxmlformats.org/officeDocument/2006/relationships/hyperlink" Target="http://journals.cambridge.org/action/displayAbstract?aid=9122051" TargetMode="External"/><Relationship Id="rId3" Type="http://schemas.openxmlformats.org/officeDocument/2006/relationships/hyperlink" Target="http://www.brennancenter.org/publication/voter-registration-digital-age" TargetMode="External"/><Relationship Id="rId7" Type="http://schemas.openxmlformats.org/officeDocument/2006/relationships/hyperlink" Target="https://na14.salesforce.com/006d00000075JM1" TargetMode="External"/><Relationship Id="rId12" Type="http://schemas.openxmlformats.org/officeDocument/2006/relationships/hyperlink" Target="https://na14.salesforce.com/00Pd000000FgzfI" TargetMode="External"/><Relationship Id="rId17" Type="http://schemas.openxmlformats.org/officeDocument/2006/relationships/hyperlink" Target="http://www.udel.edu/cpc/research/fall2014/CPCVoterID-Race-final.pdf" TargetMode="External"/><Relationship Id="rId2" Type="http://schemas.openxmlformats.org/officeDocument/2006/relationships/hyperlink" Target="http://www.brennancenter.org/analysis/voter-registration-modernization-states" TargetMode="External"/><Relationship Id="rId16" Type="http://schemas.openxmlformats.org/officeDocument/2006/relationships/hyperlink" Target="http://www.votespa.com/portal/server.pt/community/preparing_for_election_day/13517/voter_id_law/1115447" TargetMode="External"/><Relationship Id="rId1" Type="http://schemas.openxmlformats.org/officeDocument/2006/relationships/hyperlink" Target="http://www.ncsl.org/research/elections-and-campaigns/voter-id-history.aspx" TargetMode="External"/><Relationship Id="rId6" Type="http://schemas.openxmlformats.org/officeDocument/2006/relationships/hyperlink" Target="http://www.lawyerscommittee.org/projects/voting_rights/page?id=0117" TargetMode="External"/><Relationship Id="rId11" Type="http://schemas.openxmlformats.org/officeDocument/2006/relationships/hyperlink" Target="http://www.nytimes.com/2014/06/11/upshot/vote-fraud-is-rare-but-myth-is-widespread.html?_r=0&amp;abt=0002&amp;abg=0" TargetMode="External"/><Relationship Id="rId5" Type="http://schemas.openxmlformats.org/officeDocument/2006/relationships/hyperlink" Target="http://www.nationaljournal.com/domesticpolicy/voter-id-laws-can-decrease-minority-and-youth-turnout-20141008" TargetMode="External"/><Relationship Id="rId15" Type="http://schemas.openxmlformats.org/officeDocument/2006/relationships/hyperlink" Target="http://www.votespa.com/portal/server.pt/community/preparing_for_election_day/13517/voter_id_law/1115447" TargetMode="External"/><Relationship Id="rId10" Type="http://schemas.openxmlformats.org/officeDocument/2006/relationships/hyperlink" Target="https://na14.salesforce.com/006d00000075JM0" TargetMode="External"/><Relationship Id="rId4" Type="http://schemas.openxmlformats.org/officeDocument/2006/relationships/hyperlink" Target="http://www.brennancenter.org/publication/voting-law-changes-2012" TargetMode="External"/><Relationship Id="rId9" Type="http://schemas.openxmlformats.org/officeDocument/2006/relationships/hyperlink" Target="https://na14.salesforce.com/006d00000075Jt8" TargetMode="External"/><Relationship Id="rId14" Type="http://schemas.openxmlformats.org/officeDocument/2006/relationships/hyperlink" Target="http://journals.cambridge.org/action/displayJournal?jid=P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C2FFE-CC99-4750-ADC2-843375066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4681</Words>
  <Characters>26687</Characters>
  <Application>Microsoft Office Word</Application>
  <DocSecurity>4</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31306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Hamalainen</dc:creator>
  <cp:lastModifiedBy>Daphne Panayotatos</cp:lastModifiedBy>
  <cp:revision>2</cp:revision>
  <cp:lastPrinted>2014-12-07T21:05:00Z</cp:lastPrinted>
  <dcterms:created xsi:type="dcterms:W3CDTF">2014-12-09T15:37:00Z</dcterms:created>
  <dcterms:modified xsi:type="dcterms:W3CDTF">2014-12-09T15:37:00Z</dcterms:modified>
</cp:coreProperties>
</file>