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2AC" w:rsidRPr="004D0007" w:rsidRDefault="004D0007" w:rsidP="00DE04F3">
      <w:pPr>
        <w:pStyle w:val="Heading1"/>
      </w:pPr>
      <w:bookmarkStart w:id="0" w:name="_GoBack"/>
      <w:bookmarkEnd w:id="0"/>
      <w:r w:rsidRPr="004D0007">
        <w:t xml:space="preserve">Elements for FGP </w:t>
      </w:r>
      <w:r w:rsidR="001E4264" w:rsidRPr="004D0007">
        <w:t>Portfolio Review</w:t>
      </w:r>
      <w:r w:rsidRPr="004D0007">
        <w:t xml:space="preserve"> – May 1, 2015 </w:t>
      </w:r>
    </w:p>
    <w:tbl>
      <w:tblPr>
        <w:tblStyle w:val="LightShading-Accent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5"/>
        <w:gridCol w:w="1244"/>
        <w:gridCol w:w="3149"/>
        <w:gridCol w:w="1710"/>
        <w:gridCol w:w="1439"/>
        <w:gridCol w:w="3439"/>
      </w:tblGrid>
      <w:tr w:rsidR="00FA22CD" w:rsidRPr="004D0007" w:rsidTr="00440E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A22CD" w:rsidRPr="00070A8C" w:rsidRDefault="00FA22CD">
            <w:pPr>
              <w:rPr>
                <w:rFonts w:ascii="Tw Cen MT" w:hAnsi="Tw Cen MT"/>
                <w:b w:val="0"/>
                <w:sz w:val="32"/>
                <w:szCs w:val="32"/>
              </w:rPr>
            </w:pPr>
            <w:r w:rsidRPr="00070A8C">
              <w:rPr>
                <w:rFonts w:ascii="Tw Cen MT" w:hAnsi="Tw Cen MT"/>
                <w:b w:val="0"/>
                <w:sz w:val="32"/>
                <w:szCs w:val="32"/>
              </w:rPr>
              <w:t xml:space="preserve">Organization </w:t>
            </w:r>
          </w:p>
        </w:tc>
        <w:tc>
          <w:tcPr>
            <w:tcW w:w="4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A22CD" w:rsidRPr="00070A8C" w:rsidRDefault="00FA22CD" w:rsidP="00D05C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" w:hAnsi="Tw Cen MT"/>
                <w:b w:val="0"/>
                <w:sz w:val="32"/>
                <w:szCs w:val="32"/>
              </w:rPr>
            </w:pPr>
            <w:r w:rsidRPr="00070A8C">
              <w:rPr>
                <w:rFonts w:ascii="Tw Cen MT" w:hAnsi="Tw Cen MT"/>
                <w:b w:val="0"/>
                <w:sz w:val="32"/>
                <w:szCs w:val="32"/>
              </w:rPr>
              <w:t>Type</w:t>
            </w:r>
          </w:p>
        </w:tc>
        <w:tc>
          <w:tcPr>
            <w:tcW w:w="119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A22CD" w:rsidRPr="00070A8C" w:rsidRDefault="00FA22CD" w:rsidP="00D05C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" w:hAnsi="Tw Cen MT"/>
                <w:b w:val="0"/>
                <w:sz w:val="32"/>
                <w:szCs w:val="32"/>
              </w:rPr>
            </w:pPr>
            <w:r w:rsidRPr="00070A8C">
              <w:rPr>
                <w:rFonts w:ascii="Tw Cen MT" w:hAnsi="Tw Cen MT"/>
                <w:b w:val="0"/>
                <w:sz w:val="32"/>
                <w:szCs w:val="32"/>
              </w:rPr>
              <w:t>Description</w:t>
            </w:r>
            <w:r w:rsidR="00CB3F82">
              <w:rPr>
                <w:rFonts w:ascii="Tw Cen MT" w:hAnsi="Tw Cen MT"/>
                <w:b w:val="0"/>
                <w:sz w:val="32"/>
                <w:szCs w:val="32"/>
              </w:rPr>
              <w:t xml:space="preserve"> of Support</w:t>
            </w:r>
          </w:p>
        </w:tc>
        <w:tc>
          <w:tcPr>
            <w:tcW w:w="64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A22CD" w:rsidRPr="00070A8C" w:rsidRDefault="00FA22CD" w:rsidP="00D05C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" w:hAnsi="Tw Cen MT"/>
                <w:b w:val="0"/>
                <w:sz w:val="32"/>
                <w:szCs w:val="32"/>
              </w:rPr>
            </w:pPr>
            <w:r w:rsidRPr="00070A8C">
              <w:rPr>
                <w:rFonts w:ascii="Tw Cen MT" w:hAnsi="Tw Cen MT"/>
                <w:b w:val="0"/>
                <w:sz w:val="32"/>
                <w:szCs w:val="32"/>
              </w:rPr>
              <w:t xml:space="preserve">Term </w:t>
            </w:r>
          </w:p>
        </w:tc>
        <w:tc>
          <w:tcPr>
            <w:tcW w:w="5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A22CD" w:rsidRPr="00070A8C" w:rsidRDefault="00FA22CD" w:rsidP="00D05C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" w:hAnsi="Tw Cen MT"/>
                <w:b w:val="0"/>
                <w:sz w:val="32"/>
                <w:szCs w:val="32"/>
              </w:rPr>
            </w:pPr>
            <w:r w:rsidRPr="00070A8C">
              <w:rPr>
                <w:rFonts w:ascii="Tw Cen MT" w:hAnsi="Tw Cen MT"/>
                <w:b w:val="0"/>
                <w:sz w:val="32"/>
                <w:szCs w:val="32"/>
              </w:rPr>
              <w:t>Amount (USD)</w:t>
            </w:r>
          </w:p>
        </w:tc>
        <w:tc>
          <w:tcPr>
            <w:tcW w:w="130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A22CD" w:rsidRPr="00070A8C" w:rsidRDefault="00FA22CD" w:rsidP="00D05C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" w:hAnsi="Tw Cen MT"/>
                <w:sz w:val="32"/>
                <w:szCs w:val="32"/>
              </w:rPr>
            </w:pPr>
            <w:r w:rsidRPr="00FA22CD">
              <w:rPr>
                <w:rFonts w:ascii="Tw Cen MT" w:hAnsi="Tw Cen MT"/>
                <w:b w:val="0"/>
                <w:sz w:val="32"/>
                <w:szCs w:val="32"/>
              </w:rPr>
              <w:t>Notes</w:t>
            </w:r>
          </w:p>
        </w:tc>
      </w:tr>
      <w:tr w:rsidR="00FA22CD" w:rsidRPr="004D0007" w:rsidTr="00440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tcBorders>
              <w:left w:val="none" w:sz="0" w:space="0" w:color="auto"/>
              <w:right w:val="none" w:sz="0" w:space="0" w:color="auto"/>
            </w:tcBorders>
          </w:tcPr>
          <w:p w:rsidR="00FA22CD" w:rsidRPr="00B73A21" w:rsidRDefault="00FA22CD">
            <w:pPr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>International Budget Partnership</w:t>
            </w:r>
            <w:r w:rsidR="00B73A21" w:rsidRPr="00B73A21">
              <w:rPr>
                <w:rFonts w:ascii="Tw Cen MT" w:hAnsi="Tw Cen MT"/>
              </w:rPr>
              <w:t xml:space="preserve"> (IBP)</w:t>
            </w:r>
          </w:p>
        </w:tc>
        <w:tc>
          <w:tcPr>
            <w:tcW w:w="472" w:type="pct"/>
            <w:tcBorders>
              <w:left w:val="none" w:sz="0" w:space="0" w:color="auto"/>
              <w:right w:val="none" w:sz="0" w:space="0" w:color="auto"/>
            </w:tcBorders>
          </w:tcPr>
          <w:p w:rsidR="00FA22CD" w:rsidRPr="00B73A21" w:rsidRDefault="00FA22CD" w:rsidP="00070A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 xml:space="preserve">General support </w:t>
            </w:r>
          </w:p>
        </w:tc>
        <w:tc>
          <w:tcPr>
            <w:tcW w:w="1195" w:type="pct"/>
            <w:tcBorders>
              <w:left w:val="none" w:sz="0" w:space="0" w:color="auto"/>
              <w:right w:val="none" w:sz="0" w:space="0" w:color="auto"/>
            </w:tcBorders>
          </w:tcPr>
          <w:p w:rsidR="00FA22CD" w:rsidRPr="00B73A21" w:rsidRDefault="00FA22CD" w:rsidP="00B73A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 xml:space="preserve">To support </w:t>
            </w:r>
            <w:r w:rsidR="00B73A21" w:rsidRPr="00B73A21">
              <w:rPr>
                <w:rFonts w:ascii="Tw Cen MT" w:hAnsi="Tw Cen MT"/>
              </w:rPr>
              <w:t>IBP</w:t>
            </w:r>
            <w:r w:rsidR="00440E54" w:rsidRPr="00B73A21">
              <w:rPr>
                <w:rFonts w:ascii="Tw Cen MT" w:hAnsi="Tw Cen MT"/>
              </w:rPr>
              <w:t xml:space="preserve"> at a strategic moment, during which IBP spun off from its long-time fiscal host, the Center on Budget and Policy Priorities and became a fully independent 501(c) 3 organization.  Support to IBP also represented an attempt to begin remedying what FGP views as a serious underinvestment to date in the field around open, participatory, and accountable budgeting.</w:t>
            </w:r>
          </w:p>
        </w:tc>
        <w:tc>
          <w:tcPr>
            <w:tcW w:w="649" w:type="pct"/>
            <w:tcBorders>
              <w:left w:val="none" w:sz="0" w:space="0" w:color="auto"/>
              <w:right w:val="none" w:sz="0" w:space="0" w:color="auto"/>
            </w:tcBorders>
          </w:tcPr>
          <w:p w:rsidR="00FA22CD" w:rsidRPr="00B73A21" w:rsidRDefault="00FA22CD" w:rsidP="00FA2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>1/1/2014  –12/31/2014</w:t>
            </w:r>
          </w:p>
        </w:tc>
        <w:tc>
          <w:tcPr>
            <w:tcW w:w="546" w:type="pct"/>
            <w:tcBorders>
              <w:left w:val="none" w:sz="0" w:space="0" w:color="auto"/>
              <w:right w:val="none" w:sz="0" w:space="0" w:color="auto"/>
            </w:tcBorders>
          </w:tcPr>
          <w:p w:rsidR="00FA22CD" w:rsidRPr="00B73A21" w:rsidRDefault="00FA22CD" w:rsidP="00070A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>$3,000,000</w:t>
            </w:r>
          </w:p>
        </w:tc>
        <w:tc>
          <w:tcPr>
            <w:tcW w:w="1305" w:type="pct"/>
            <w:tcBorders>
              <w:left w:val="none" w:sz="0" w:space="0" w:color="auto"/>
              <w:right w:val="none" w:sz="0" w:space="0" w:color="auto"/>
            </w:tcBorders>
          </w:tcPr>
          <w:p w:rsidR="003D5283" w:rsidRDefault="009B5F3C" w:rsidP="009B5F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 xml:space="preserve">Support to IBP will be the main focus of the review.  </w:t>
            </w:r>
          </w:p>
          <w:p w:rsidR="003D5283" w:rsidRDefault="003D5283" w:rsidP="009B5F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</w:rPr>
            </w:pPr>
          </w:p>
          <w:p w:rsidR="00FA22CD" w:rsidRPr="00B73A21" w:rsidRDefault="009B5F3C" w:rsidP="003D52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 xml:space="preserve">FGP has supported </w:t>
            </w:r>
            <w:r w:rsidR="003D5283">
              <w:rPr>
                <w:rFonts w:ascii="Tw Cen MT" w:hAnsi="Tw Cen MT"/>
              </w:rPr>
              <w:t xml:space="preserve">this </w:t>
            </w:r>
            <w:r w:rsidRPr="00B73A21">
              <w:rPr>
                <w:rFonts w:ascii="Tw Cen MT" w:hAnsi="Tw Cen MT"/>
              </w:rPr>
              <w:t>anchor organization since 2013</w:t>
            </w:r>
            <w:r w:rsidR="00FA22CD" w:rsidRPr="00B73A21">
              <w:rPr>
                <w:rFonts w:ascii="Tw Cen MT" w:hAnsi="Tw Cen MT"/>
              </w:rPr>
              <w:t xml:space="preserve">.  </w:t>
            </w:r>
            <w:r w:rsidRPr="00B73A21">
              <w:rPr>
                <w:rFonts w:ascii="Tw Cen MT" w:hAnsi="Tw Cen MT"/>
              </w:rPr>
              <w:t xml:space="preserve">FGP’s 2014 support is an almost three-fold increase from its $1.1 million general support contribution in FY 2013.  Before FGP’s creation, OSF was providing IBP with $700,000 per annum (2012 and earlier). </w:t>
            </w:r>
          </w:p>
        </w:tc>
      </w:tr>
      <w:tr w:rsidR="00FA22CD" w:rsidRPr="004D0007" w:rsidTr="00440E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</w:tcPr>
          <w:p w:rsidR="00FA22CD" w:rsidRPr="00B73A21" w:rsidRDefault="00FA22CD">
            <w:pPr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>Publish What You Fund</w:t>
            </w:r>
            <w:r w:rsidR="00B73A21" w:rsidRPr="00B73A21">
              <w:rPr>
                <w:rFonts w:ascii="Tw Cen MT" w:hAnsi="Tw Cen MT"/>
              </w:rPr>
              <w:t xml:space="preserve"> (PWYF)</w:t>
            </w:r>
          </w:p>
        </w:tc>
        <w:tc>
          <w:tcPr>
            <w:tcW w:w="472" w:type="pct"/>
          </w:tcPr>
          <w:p w:rsidR="00FA22CD" w:rsidRPr="00B73A21" w:rsidRDefault="00FA22CD" w:rsidP="00070A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>General support</w:t>
            </w:r>
          </w:p>
        </w:tc>
        <w:tc>
          <w:tcPr>
            <w:tcW w:w="1195" w:type="pct"/>
          </w:tcPr>
          <w:p w:rsidR="00FA22CD" w:rsidRPr="00B73A21" w:rsidRDefault="00B73A21" w:rsidP="00B73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>To support PWYF to take forward the success of the launch of the International Aid Transparency Initiative (IATI) to ensure donor governments live up to their disclosure commitments.</w:t>
            </w:r>
          </w:p>
        </w:tc>
        <w:tc>
          <w:tcPr>
            <w:tcW w:w="649" w:type="pct"/>
          </w:tcPr>
          <w:p w:rsidR="00FA22CD" w:rsidRPr="00B73A21" w:rsidRDefault="00FA22CD" w:rsidP="00FA22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>10/1/2014  –</w:t>
            </w:r>
          </w:p>
          <w:p w:rsidR="00FA22CD" w:rsidRPr="00B73A21" w:rsidRDefault="00FA22CD" w:rsidP="00FA22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>9/30/2015</w:t>
            </w:r>
          </w:p>
        </w:tc>
        <w:tc>
          <w:tcPr>
            <w:tcW w:w="546" w:type="pct"/>
          </w:tcPr>
          <w:p w:rsidR="00FA22CD" w:rsidRPr="00B73A21" w:rsidRDefault="00FA22CD" w:rsidP="00070A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>$300,000</w:t>
            </w:r>
          </w:p>
        </w:tc>
        <w:tc>
          <w:tcPr>
            <w:tcW w:w="1305" w:type="pct"/>
          </w:tcPr>
          <w:p w:rsidR="00FA22CD" w:rsidRPr="00B73A21" w:rsidRDefault="00DE04F3" w:rsidP="00FA22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>Support to PWYF in FY 2013 was $400,000.  FGP anticip</w:t>
            </w:r>
            <w:r w:rsidR="00B73A21" w:rsidRPr="00B73A21">
              <w:rPr>
                <w:rFonts w:ascii="Tw Cen MT" w:hAnsi="Tw Cen MT"/>
              </w:rPr>
              <w:t>ates ceasing support after 2015.</w:t>
            </w:r>
          </w:p>
        </w:tc>
      </w:tr>
      <w:tr w:rsidR="00FA22CD" w:rsidRPr="004D0007" w:rsidTr="00440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tcBorders>
              <w:left w:val="none" w:sz="0" w:space="0" w:color="auto"/>
              <w:right w:val="none" w:sz="0" w:space="0" w:color="auto"/>
            </w:tcBorders>
          </w:tcPr>
          <w:p w:rsidR="00FA22CD" w:rsidRPr="00B73A21" w:rsidRDefault="00FA22CD">
            <w:pPr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>Fair Play Alliance</w:t>
            </w:r>
            <w:r w:rsidR="003D5283">
              <w:rPr>
                <w:rFonts w:ascii="Tw Cen MT" w:hAnsi="Tw Cen MT"/>
              </w:rPr>
              <w:t xml:space="preserve"> (FPA)</w:t>
            </w:r>
          </w:p>
        </w:tc>
        <w:tc>
          <w:tcPr>
            <w:tcW w:w="472" w:type="pct"/>
            <w:tcBorders>
              <w:left w:val="none" w:sz="0" w:space="0" w:color="auto"/>
              <w:right w:val="none" w:sz="0" w:space="0" w:color="auto"/>
            </w:tcBorders>
          </w:tcPr>
          <w:p w:rsidR="00FA22CD" w:rsidRPr="00B73A21" w:rsidRDefault="00FA22CD" w:rsidP="00070A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>General Support</w:t>
            </w:r>
          </w:p>
        </w:tc>
        <w:tc>
          <w:tcPr>
            <w:tcW w:w="1195" w:type="pct"/>
            <w:tcBorders>
              <w:left w:val="none" w:sz="0" w:space="0" w:color="auto"/>
              <w:right w:val="none" w:sz="0" w:space="0" w:color="auto"/>
            </w:tcBorders>
          </w:tcPr>
          <w:p w:rsidR="00FA22CD" w:rsidRPr="00B73A21" w:rsidRDefault="00FA22CD" w:rsidP="003D52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 xml:space="preserve">To enable </w:t>
            </w:r>
            <w:r w:rsidR="003D5283">
              <w:rPr>
                <w:rFonts w:ascii="Tw Cen MT" w:hAnsi="Tw Cen MT"/>
              </w:rPr>
              <w:t>FPA</w:t>
            </w:r>
            <w:r w:rsidRPr="00B73A21">
              <w:rPr>
                <w:rFonts w:ascii="Tw Cen MT" w:hAnsi="Tw Cen MT"/>
              </w:rPr>
              <w:t xml:space="preserve"> to continue its civic watchdog work in Slovakia and to expand and diversify its fundraising sources</w:t>
            </w:r>
          </w:p>
        </w:tc>
        <w:tc>
          <w:tcPr>
            <w:tcW w:w="649" w:type="pct"/>
            <w:tcBorders>
              <w:left w:val="none" w:sz="0" w:space="0" w:color="auto"/>
              <w:right w:val="none" w:sz="0" w:space="0" w:color="auto"/>
            </w:tcBorders>
          </w:tcPr>
          <w:p w:rsidR="00FA22CD" w:rsidRPr="00B73A21" w:rsidRDefault="00FA22CD" w:rsidP="00FA2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 xml:space="preserve">1/1/2015 – </w:t>
            </w:r>
          </w:p>
          <w:p w:rsidR="00FA22CD" w:rsidRPr="00B73A21" w:rsidRDefault="00FA22CD" w:rsidP="00FA2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>12/31/2015</w:t>
            </w:r>
          </w:p>
        </w:tc>
        <w:tc>
          <w:tcPr>
            <w:tcW w:w="546" w:type="pct"/>
            <w:tcBorders>
              <w:left w:val="none" w:sz="0" w:space="0" w:color="auto"/>
              <w:right w:val="none" w:sz="0" w:space="0" w:color="auto"/>
            </w:tcBorders>
          </w:tcPr>
          <w:p w:rsidR="00FA22CD" w:rsidRPr="00B73A21" w:rsidRDefault="00FA22CD" w:rsidP="00070A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>$148,000</w:t>
            </w:r>
          </w:p>
        </w:tc>
        <w:tc>
          <w:tcPr>
            <w:tcW w:w="1305" w:type="pct"/>
            <w:tcBorders>
              <w:left w:val="none" w:sz="0" w:space="0" w:color="auto"/>
              <w:right w:val="none" w:sz="0" w:space="0" w:color="auto"/>
            </w:tcBorders>
          </w:tcPr>
          <w:p w:rsidR="00FA22CD" w:rsidRPr="00B73A21" w:rsidRDefault="00B73A21" w:rsidP="00FA2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>FPA is a long-time OSF grantee, funded since at least 2003 by HRI, the Think Tank Fund, the Information Program, and OSF-Bratislava.  In 2014, FGP took over from HRI the funding of the last year of a three-year general support grant to FPA.  This is one of many organizations HRI has stopped funding as a result of a strategic shift away from government-accountability/ anti-corruption work.</w:t>
            </w:r>
            <w:r w:rsidRPr="00B73A21">
              <w:rPr>
                <w:rFonts w:ascii="Tw Cen MT" w:hAnsi="Tw Cen MT"/>
              </w:rPr>
              <w:br/>
              <w:t> </w:t>
            </w:r>
            <w:r w:rsidRPr="00B73A21">
              <w:rPr>
                <w:rFonts w:ascii="Tw Cen MT" w:hAnsi="Tw Cen MT"/>
              </w:rPr>
              <w:br/>
            </w:r>
            <w:r w:rsidRPr="00B73A21">
              <w:rPr>
                <w:rFonts w:ascii="Tw Cen MT" w:hAnsi="Tw Cen MT"/>
              </w:rPr>
              <w:lastRenderedPageBreak/>
              <w:t xml:space="preserve">This grant is, in essence, a stopgap measure to support the survival and transition </w:t>
            </w:r>
            <w:r w:rsidR="003D5283">
              <w:rPr>
                <w:rFonts w:ascii="Tw Cen MT" w:hAnsi="Tw Cen MT"/>
              </w:rPr>
              <w:t xml:space="preserve">of </w:t>
            </w:r>
            <w:r w:rsidRPr="00B73A21">
              <w:rPr>
                <w:rFonts w:ascii="Tw Cen MT" w:hAnsi="Tw Cen MT"/>
              </w:rPr>
              <w:t>FPA to greater financial sustainability, while FGP determines whether or not FPA will make a strategic fit with our program going forward.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FA22CD" w:rsidRPr="004D0007" w:rsidTr="00440E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</w:tcPr>
          <w:p w:rsidR="00FA22CD" w:rsidRPr="00B73A21" w:rsidRDefault="00FA22CD">
            <w:pPr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lastRenderedPageBreak/>
              <w:t>Corruption Watch</w:t>
            </w:r>
          </w:p>
        </w:tc>
        <w:tc>
          <w:tcPr>
            <w:tcW w:w="472" w:type="pct"/>
          </w:tcPr>
          <w:p w:rsidR="00FA22CD" w:rsidRPr="00B73A21" w:rsidRDefault="00FA22CD" w:rsidP="00070A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 xml:space="preserve">General Support </w:t>
            </w:r>
          </w:p>
        </w:tc>
        <w:tc>
          <w:tcPr>
            <w:tcW w:w="1195" w:type="pct"/>
          </w:tcPr>
          <w:p w:rsidR="00FA22CD" w:rsidRPr="00B73A21" w:rsidRDefault="00FA22CD" w:rsidP="00070A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>To support the core activities of the Legal and Investigations Team and selected activities of the Communications Team</w:t>
            </w:r>
          </w:p>
        </w:tc>
        <w:tc>
          <w:tcPr>
            <w:tcW w:w="649" w:type="pct"/>
          </w:tcPr>
          <w:p w:rsidR="00FA22CD" w:rsidRPr="00B73A21" w:rsidRDefault="00FA22CD" w:rsidP="00FA22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>8/1/2014  –</w:t>
            </w:r>
          </w:p>
          <w:p w:rsidR="00FA22CD" w:rsidRPr="00B73A21" w:rsidRDefault="00FA22CD" w:rsidP="00FA22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>5/31/2015</w:t>
            </w:r>
          </w:p>
        </w:tc>
        <w:tc>
          <w:tcPr>
            <w:tcW w:w="546" w:type="pct"/>
          </w:tcPr>
          <w:p w:rsidR="00FA22CD" w:rsidRPr="00B73A21" w:rsidRDefault="00FA22CD" w:rsidP="00070A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B73A21">
              <w:rPr>
                <w:rFonts w:ascii="Tw Cen MT" w:hAnsi="Tw Cen MT"/>
              </w:rPr>
              <w:t>$99,643</w:t>
            </w:r>
          </w:p>
        </w:tc>
        <w:tc>
          <w:tcPr>
            <w:tcW w:w="1305" w:type="pct"/>
          </w:tcPr>
          <w:p w:rsidR="00FA22CD" w:rsidRPr="00B73A21" w:rsidRDefault="003D5283" w:rsidP="003D52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" w:hAnsi="Tw Cen MT"/>
              </w:rPr>
            </w:pPr>
            <w:r w:rsidRPr="003D5283">
              <w:rPr>
                <w:rFonts w:ascii="Tw Cen MT" w:hAnsi="Tw Cen MT"/>
              </w:rPr>
              <w:t>Fiscal Governance Program was asked in late 2013 to take over management of OSF-SA’s grant to Corruption Watch due to a conflict of interest regarding OSF-SA’s Advisory Board chair, which it shares with a Corruption Watch board member.  FGP received a budget allocation from OSF-SA to cover the full amount of the project grant, and FGP will assume full responsibility for all grant related monitoring and reporting during the grant period.</w:t>
            </w:r>
            <w:r>
              <w:rPr>
                <w:rFonts w:ascii="Calibri" w:hAnsi="Calibri"/>
                <w:color w:val="000000"/>
                <w:shd w:val="clear" w:color="auto" w:fill="E3F3FF"/>
              </w:rPr>
              <w:t xml:space="preserve"> </w:t>
            </w:r>
          </w:p>
        </w:tc>
      </w:tr>
    </w:tbl>
    <w:p w:rsidR="00FA22CD" w:rsidRDefault="00FA22CD">
      <w:pPr>
        <w:rPr>
          <w:rFonts w:ascii="Tw Cen MT" w:hAnsi="Tw Cen MT"/>
          <w:sz w:val="24"/>
        </w:rPr>
      </w:pPr>
      <w:r>
        <w:rPr>
          <w:rFonts w:ascii="Tw Cen MT" w:hAnsi="Tw Cen MT"/>
          <w:sz w:val="24"/>
        </w:rPr>
        <w:t xml:space="preserve">*Note – </w:t>
      </w:r>
      <w:r w:rsidRPr="003D5283">
        <w:t xml:space="preserve">The Transparency and Accountability Initiative and Open Government Partnership </w:t>
      </w:r>
      <w:r w:rsidR="00DE04F3" w:rsidRPr="003D5283">
        <w:t xml:space="preserve">rest partly </w:t>
      </w:r>
      <w:r w:rsidRPr="003D5283">
        <w:t xml:space="preserve">under this </w:t>
      </w:r>
      <w:r w:rsidR="00DE04F3" w:rsidRPr="003D5283">
        <w:t>body of work</w:t>
      </w:r>
      <w:r w:rsidRPr="003D5283">
        <w:t xml:space="preserve">, but </w:t>
      </w:r>
      <w:r w:rsidR="00DE04F3" w:rsidRPr="003D5283">
        <w:t xml:space="preserve">we are not including them in this </w:t>
      </w:r>
      <w:r w:rsidRPr="003D5283">
        <w:t xml:space="preserve">review because </w:t>
      </w:r>
      <w:r w:rsidR="00DE04F3" w:rsidRPr="003D5283">
        <w:t xml:space="preserve">we will dedicate our next portfolio review to examining support to MSIs/Coalitions, in which TAI and OGP fall more directly. </w:t>
      </w:r>
    </w:p>
    <w:p w:rsidR="00FA22CD" w:rsidRPr="004D0007" w:rsidRDefault="00FA22CD">
      <w:pPr>
        <w:rPr>
          <w:rFonts w:ascii="Tw Cen MT" w:hAnsi="Tw Cen MT"/>
          <w:sz w:val="24"/>
        </w:rPr>
      </w:pPr>
    </w:p>
    <w:sectPr w:rsidR="00FA22CD" w:rsidRPr="004D0007" w:rsidSect="004D000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A567C"/>
    <w:multiLevelType w:val="hybridMultilevel"/>
    <w:tmpl w:val="FAAE9608"/>
    <w:lvl w:ilvl="0" w:tplc="A328E788">
      <w:start w:val="1"/>
      <w:numFmt w:val="bullet"/>
      <w:lvlText w:val="-"/>
      <w:lvlJc w:val="left"/>
      <w:pPr>
        <w:ind w:left="720" w:hanging="360"/>
      </w:pPr>
      <w:rPr>
        <w:rFonts w:ascii="Tw Cen MT" w:eastAsiaTheme="minorHAnsi" w:hAnsi="Tw Cen M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264"/>
    <w:rsid w:val="00070A8C"/>
    <w:rsid w:val="001D333F"/>
    <w:rsid w:val="001E4264"/>
    <w:rsid w:val="003D5283"/>
    <w:rsid w:val="00440E54"/>
    <w:rsid w:val="004D0007"/>
    <w:rsid w:val="005D4641"/>
    <w:rsid w:val="00997FCB"/>
    <w:rsid w:val="009B5F3C"/>
    <w:rsid w:val="00B20E8D"/>
    <w:rsid w:val="00B73A21"/>
    <w:rsid w:val="00CB3F82"/>
    <w:rsid w:val="00D05CFE"/>
    <w:rsid w:val="00DE04F3"/>
    <w:rsid w:val="00FA22CD"/>
    <w:rsid w:val="00FA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04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4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4D000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00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LightShading-Accent1">
    <w:name w:val="Light Shading Accent 1"/>
    <w:basedOn w:val="TableNormal"/>
    <w:uiPriority w:val="60"/>
    <w:rsid w:val="00070A8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070A8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A22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22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22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22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22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2C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E04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04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4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4D000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00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LightShading-Accent1">
    <w:name w:val="Light Shading Accent 1"/>
    <w:basedOn w:val="TableNormal"/>
    <w:uiPriority w:val="60"/>
    <w:rsid w:val="00070A8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070A8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A22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22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22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22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22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2C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E04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6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1FF95-EFE2-4D90-A5F5-F0DC451A5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2542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OSF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Subarna Mathes</dc:creator>
  <cp:lastModifiedBy>Daphne Panayotatos</cp:lastModifiedBy>
  <cp:revision>2</cp:revision>
  <dcterms:created xsi:type="dcterms:W3CDTF">2015-04-07T16:24:00Z</dcterms:created>
  <dcterms:modified xsi:type="dcterms:W3CDTF">2015-04-07T16:24:00Z</dcterms:modified>
</cp:coreProperties>
</file>