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741" w:rsidRDefault="00CD6741">
      <w:bookmarkStart w:id="0" w:name="_GoBack"/>
      <w:bookmarkEnd w:id="0"/>
    </w:p>
    <w:p w:rsidR="007E48F7" w:rsidRPr="007E48F7" w:rsidRDefault="007E48F7" w:rsidP="007E48F7">
      <w:pPr>
        <w:pStyle w:val="Default"/>
        <w:jc w:val="center"/>
        <w:rPr>
          <w:rFonts w:asciiTheme="minorHAnsi" w:hAnsiTheme="minorHAnsi"/>
          <w:b/>
        </w:rPr>
      </w:pPr>
      <w:r w:rsidRPr="007E48F7">
        <w:rPr>
          <w:rFonts w:asciiTheme="minorHAnsi" w:hAnsiTheme="minorHAnsi"/>
          <w:b/>
        </w:rPr>
        <w:t>Outcomes Summary: Portfolio Review on Supporting Participatory Access to Justice for Socially Excluded and Criminalized Groups as Crucial to Health</w:t>
      </w:r>
    </w:p>
    <w:p w:rsidR="008347F8" w:rsidRPr="007E48F7" w:rsidRDefault="007E48F7" w:rsidP="00750EE7">
      <w:pPr>
        <w:pBdr>
          <w:bottom w:val="single" w:sz="4" w:space="1" w:color="auto"/>
        </w:pBdr>
        <w:spacing w:before="120" w:after="0" w:line="240" w:lineRule="auto"/>
        <w:jc w:val="center"/>
        <w:rPr>
          <w:sz w:val="24"/>
          <w:szCs w:val="24"/>
        </w:rPr>
      </w:pPr>
      <w:r w:rsidRPr="007E48F7">
        <w:rPr>
          <w:rFonts w:cs="Times New Roman"/>
          <w:sz w:val="24"/>
          <w:szCs w:val="24"/>
        </w:rPr>
        <w:t>April 8, 2014</w:t>
      </w:r>
    </w:p>
    <w:p w:rsidR="007E48F7" w:rsidRPr="007E48F7" w:rsidRDefault="007E48F7" w:rsidP="00750EE7">
      <w:pPr>
        <w:spacing w:after="0" w:line="240" w:lineRule="auto"/>
        <w:rPr>
          <w:sz w:val="24"/>
          <w:szCs w:val="24"/>
        </w:rPr>
      </w:pPr>
    </w:p>
    <w:p w:rsidR="00760274" w:rsidRDefault="00760274" w:rsidP="00760274">
      <w:pPr>
        <w:ind w:left="2880" w:hanging="2880"/>
        <w:rPr>
          <w:rFonts w:cs="Times New Roman"/>
          <w:i/>
        </w:rPr>
      </w:pPr>
      <w:r w:rsidRPr="00760274">
        <w:rPr>
          <w:rFonts w:cs="Times New Roman"/>
          <w:i/>
          <w:u w:val="single"/>
        </w:rPr>
        <w:t>Presenters:</w:t>
      </w:r>
      <w:r>
        <w:rPr>
          <w:rFonts w:cs="Times New Roman"/>
          <w:i/>
        </w:rPr>
        <w:t xml:space="preserve">  </w:t>
      </w:r>
      <w:r w:rsidRPr="00760274">
        <w:rPr>
          <w:rFonts w:cs="Times New Roman"/>
        </w:rPr>
        <w:t>Tamar Ezer,</w:t>
      </w:r>
      <w:r>
        <w:rPr>
          <w:rFonts w:cs="Times New Roman"/>
          <w:i/>
        </w:rPr>
        <w:t xml:space="preserve"> </w:t>
      </w:r>
      <w:r w:rsidRPr="00760274">
        <w:rPr>
          <w:rFonts w:cs="Times New Roman"/>
        </w:rPr>
        <w:t xml:space="preserve">Ralf </w:t>
      </w:r>
      <w:proofErr w:type="spellStart"/>
      <w:r w:rsidRPr="00760274">
        <w:rPr>
          <w:rFonts w:cs="Times New Roman"/>
        </w:rPr>
        <w:t>Jürgens</w:t>
      </w:r>
      <w:proofErr w:type="spellEnd"/>
      <w:r w:rsidRPr="00760274">
        <w:rPr>
          <w:rFonts w:cs="Times New Roman"/>
        </w:rPr>
        <w:t>, Martin McKee,</w:t>
      </w:r>
    </w:p>
    <w:p w:rsidR="007E48F7" w:rsidRPr="00760274" w:rsidRDefault="005429F9" w:rsidP="00760274">
      <w:pPr>
        <w:spacing w:line="240" w:lineRule="auto"/>
        <w:rPr>
          <w:rFonts w:cs="Times New Roman"/>
        </w:rPr>
      </w:pPr>
      <w:r w:rsidRPr="00760274">
        <w:rPr>
          <w:rFonts w:cs="Times New Roman"/>
          <w:i/>
          <w:u w:val="single"/>
        </w:rPr>
        <w:t>Participants i</w:t>
      </w:r>
      <w:r w:rsidR="007E48F7" w:rsidRPr="00760274">
        <w:rPr>
          <w:rFonts w:cs="Times New Roman"/>
          <w:i/>
          <w:u w:val="single"/>
        </w:rPr>
        <w:t>n New York:</w:t>
      </w:r>
      <w:r w:rsidR="00760274">
        <w:rPr>
          <w:rFonts w:cs="Times New Roman"/>
          <w:i/>
        </w:rPr>
        <w:t xml:space="preserve">  </w:t>
      </w:r>
      <w:r w:rsidRPr="00760274">
        <w:rPr>
          <w:rFonts w:cs="Times New Roman"/>
        </w:rPr>
        <w:t>Volha Baraulia, Heather Benj</w:t>
      </w:r>
      <w:r w:rsidR="00760274" w:rsidRPr="00760274">
        <w:rPr>
          <w:rFonts w:cs="Times New Roman"/>
        </w:rPr>
        <w:t xml:space="preserve">amin, Marine Buissonniere, Mary </w:t>
      </w:r>
      <w:r w:rsidRPr="00760274">
        <w:rPr>
          <w:rFonts w:cs="Times New Roman"/>
        </w:rPr>
        <w:t>Callaway,</w:t>
      </w:r>
      <w:r w:rsidR="00760274">
        <w:rPr>
          <w:rFonts w:cs="Times New Roman"/>
        </w:rPr>
        <w:t xml:space="preserve"> </w:t>
      </w:r>
      <w:r w:rsidRPr="00760274">
        <w:rPr>
          <w:rFonts w:cs="Times New Roman"/>
        </w:rPr>
        <w:t xml:space="preserve">Jonathan Cohen, </w:t>
      </w:r>
      <w:r w:rsidR="004817D6" w:rsidRPr="00760274">
        <w:rPr>
          <w:rFonts w:cs="Times New Roman"/>
        </w:rPr>
        <w:t xml:space="preserve">Brett Davidson, </w:t>
      </w:r>
      <w:r w:rsidRPr="00760274">
        <w:rPr>
          <w:rFonts w:cs="Times New Roman"/>
        </w:rPr>
        <w:t xml:space="preserve">Cynthia Eyakuze, </w:t>
      </w:r>
      <w:r w:rsidR="004817D6" w:rsidRPr="00760274">
        <w:rPr>
          <w:rFonts w:cs="Times New Roman"/>
        </w:rPr>
        <w:t xml:space="preserve">Kathy Foley, </w:t>
      </w:r>
      <w:r w:rsidR="00FD2D6B" w:rsidRPr="00760274">
        <w:rPr>
          <w:rFonts w:cs="Times New Roman"/>
        </w:rPr>
        <w:t xml:space="preserve">Krizna Gomez, </w:t>
      </w:r>
      <w:r w:rsidR="004817D6" w:rsidRPr="00760274">
        <w:rPr>
          <w:rFonts w:cs="Times New Roman"/>
        </w:rPr>
        <w:t xml:space="preserve">Kiera </w:t>
      </w:r>
      <w:proofErr w:type="spellStart"/>
      <w:r w:rsidR="004817D6" w:rsidRPr="00760274">
        <w:rPr>
          <w:rFonts w:cs="Times New Roman"/>
        </w:rPr>
        <w:t>Hepford</w:t>
      </w:r>
      <w:proofErr w:type="spellEnd"/>
      <w:r w:rsidR="004817D6" w:rsidRPr="00760274">
        <w:rPr>
          <w:rFonts w:cs="Times New Roman"/>
        </w:rPr>
        <w:t xml:space="preserve">, Judy Klein, </w:t>
      </w:r>
      <w:r w:rsidR="00FD2D6B" w:rsidRPr="00760274">
        <w:rPr>
          <w:rFonts w:cs="Times New Roman"/>
        </w:rPr>
        <w:t>Sebastian Kohn,</w:t>
      </w:r>
      <w:r w:rsidR="007E48F7" w:rsidRPr="00760274">
        <w:rPr>
          <w:rFonts w:cs="Times New Roman"/>
        </w:rPr>
        <w:t xml:space="preserve"> Ivan Krastev, </w:t>
      </w:r>
      <w:r w:rsidR="004817D6" w:rsidRPr="00760274">
        <w:rPr>
          <w:rFonts w:cs="Times New Roman"/>
        </w:rPr>
        <w:t xml:space="preserve">Sebastian Krueger, Krista Lauer, Daphne Panayotatos, Olga </w:t>
      </w:r>
      <w:proofErr w:type="spellStart"/>
      <w:r w:rsidR="004817D6" w:rsidRPr="00760274">
        <w:rPr>
          <w:rFonts w:cs="Times New Roman"/>
        </w:rPr>
        <w:t>Rychkova</w:t>
      </w:r>
      <w:proofErr w:type="spellEnd"/>
      <w:r w:rsidR="004817D6" w:rsidRPr="00760274">
        <w:rPr>
          <w:rFonts w:cs="Times New Roman"/>
        </w:rPr>
        <w:t xml:space="preserve">, Alissa Sadler, David Scamell, Anna Segelman, </w:t>
      </w:r>
      <w:r w:rsidR="007E48F7" w:rsidRPr="00760274">
        <w:rPr>
          <w:rFonts w:cs="Times New Roman"/>
        </w:rPr>
        <w:t xml:space="preserve">Dan Sershen, </w:t>
      </w:r>
      <w:r w:rsidR="004817D6" w:rsidRPr="00760274">
        <w:rPr>
          <w:rFonts w:cs="Times New Roman"/>
        </w:rPr>
        <w:t xml:space="preserve">Chris Stone, Rachel Thomas, </w:t>
      </w:r>
      <w:r w:rsidR="007E48F7" w:rsidRPr="00760274">
        <w:rPr>
          <w:rFonts w:cs="Times New Roman"/>
        </w:rPr>
        <w:t>Denise</w:t>
      </w:r>
      <w:r w:rsidRPr="00760274">
        <w:rPr>
          <w:rFonts w:cs="Times New Roman"/>
        </w:rPr>
        <w:t xml:space="preserve"> Tomasini-Joshi</w:t>
      </w:r>
      <w:r w:rsidR="007E48F7" w:rsidRPr="00760274">
        <w:rPr>
          <w:rFonts w:cs="Times New Roman"/>
        </w:rPr>
        <w:t xml:space="preserve">, </w:t>
      </w:r>
      <w:r w:rsidR="004817D6" w:rsidRPr="00760274">
        <w:rPr>
          <w:rFonts w:cs="Times New Roman"/>
        </w:rPr>
        <w:t>Vinay Viswanatha, Daniel Wolfe</w:t>
      </w:r>
    </w:p>
    <w:p w:rsidR="007E48F7" w:rsidRPr="00760274" w:rsidRDefault="00760274" w:rsidP="00760274">
      <w:r w:rsidRPr="00760274">
        <w:rPr>
          <w:rFonts w:cs="Times New Roman"/>
          <w:i/>
          <w:u w:val="single"/>
        </w:rPr>
        <w:t>Participants</w:t>
      </w:r>
      <w:r w:rsidR="005429F9" w:rsidRPr="00760274">
        <w:rPr>
          <w:rFonts w:cs="Times New Roman"/>
          <w:i/>
          <w:u w:val="single"/>
        </w:rPr>
        <w:t xml:space="preserve"> from </w:t>
      </w:r>
      <w:r w:rsidR="007E48F7" w:rsidRPr="00760274">
        <w:rPr>
          <w:rFonts w:cs="Times New Roman"/>
          <w:i/>
          <w:u w:val="single"/>
        </w:rPr>
        <w:t>Budapest</w:t>
      </w:r>
      <w:r w:rsidR="00D33316">
        <w:rPr>
          <w:rFonts w:cs="Times New Roman"/>
          <w:i/>
          <w:u w:val="single"/>
        </w:rPr>
        <w:t xml:space="preserve"> (by v</w:t>
      </w:r>
      <w:r w:rsidRPr="00760274">
        <w:rPr>
          <w:rFonts w:cs="Times New Roman"/>
          <w:i/>
          <w:u w:val="single"/>
        </w:rPr>
        <w:t>ideo</w:t>
      </w:r>
      <w:r w:rsidR="00D33316">
        <w:rPr>
          <w:rFonts w:cs="Times New Roman"/>
          <w:i/>
          <w:u w:val="single"/>
        </w:rPr>
        <w:t>)</w:t>
      </w:r>
      <w:r w:rsidRPr="00760274">
        <w:rPr>
          <w:rFonts w:cs="Times New Roman"/>
          <w:i/>
          <w:u w:val="single"/>
        </w:rPr>
        <w:t>:</w:t>
      </w:r>
      <w:r>
        <w:rPr>
          <w:rFonts w:cs="Times New Roman"/>
          <w:i/>
        </w:rPr>
        <w:t xml:space="preserve">  </w:t>
      </w:r>
      <w:r w:rsidR="007E48F7" w:rsidRPr="00760274">
        <w:rPr>
          <w:rFonts w:cs="Times New Roman"/>
        </w:rPr>
        <w:t>P</w:t>
      </w:r>
      <w:r w:rsidR="007E48F7" w:rsidRPr="00760274">
        <w:t>eter</w:t>
      </w:r>
      <w:r w:rsidR="005429F9" w:rsidRPr="00760274">
        <w:t xml:space="preserve"> Chapman</w:t>
      </w:r>
      <w:r w:rsidR="007E48F7" w:rsidRPr="00760274">
        <w:t>, Zaza</w:t>
      </w:r>
      <w:r w:rsidR="005429F9" w:rsidRPr="00760274">
        <w:t xml:space="preserve"> Namoradze</w:t>
      </w:r>
    </w:p>
    <w:p w:rsidR="007E48F7" w:rsidRPr="00760274" w:rsidRDefault="00760274" w:rsidP="00760274">
      <w:pPr>
        <w:spacing w:line="240" w:lineRule="auto"/>
        <w:ind w:left="1440" w:hanging="1440"/>
      </w:pPr>
      <w:r w:rsidRPr="00760274">
        <w:rPr>
          <w:rFonts w:cs="Times New Roman"/>
          <w:i/>
          <w:u w:val="single"/>
        </w:rPr>
        <w:t>Participants</w:t>
      </w:r>
      <w:r w:rsidR="005429F9" w:rsidRPr="00760274">
        <w:rPr>
          <w:rFonts w:cs="Times New Roman"/>
          <w:i/>
          <w:u w:val="single"/>
        </w:rPr>
        <w:t xml:space="preserve"> from </w:t>
      </w:r>
      <w:r w:rsidR="008347F8" w:rsidRPr="00760274">
        <w:rPr>
          <w:rFonts w:cs="Times New Roman"/>
          <w:i/>
          <w:u w:val="single"/>
        </w:rPr>
        <w:t>Nairobi</w:t>
      </w:r>
      <w:r w:rsidRPr="00760274">
        <w:rPr>
          <w:rFonts w:cs="Times New Roman"/>
          <w:i/>
          <w:u w:val="single"/>
        </w:rPr>
        <w:t xml:space="preserve"> </w:t>
      </w:r>
      <w:r w:rsidR="00D33316">
        <w:rPr>
          <w:rFonts w:cs="Times New Roman"/>
          <w:i/>
          <w:u w:val="single"/>
        </w:rPr>
        <w:t>(by v</w:t>
      </w:r>
      <w:r w:rsidRPr="00760274">
        <w:rPr>
          <w:rFonts w:cs="Times New Roman"/>
          <w:i/>
          <w:u w:val="single"/>
        </w:rPr>
        <w:t>ideo</w:t>
      </w:r>
      <w:r w:rsidR="00D33316">
        <w:rPr>
          <w:rFonts w:cs="Times New Roman"/>
          <w:i/>
          <w:u w:val="single"/>
        </w:rPr>
        <w:t>)</w:t>
      </w:r>
      <w:r w:rsidRPr="00760274">
        <w:rPr>
          <w:rFonts w:cs="Times New Roman"/>
          <w:i/>
          <w:u w:val="single"/>
        </w:rPr>
        <w:t>:</w:t>
      </w:r>
      <w:r>
        <w:rPr>
          <w:rFonts w:cs="Times New Roman"/>
          <w:i/>
        </w:rPr>
        <w:t xml:space="preserve">  </w:t>
      </w:r>
      <w:r w:rsidR="005429F9" w:rsidRPr="00760274">
        <w:t xml:space="preserve">Jaki </w:t>
      </w:r>
      <w:proofErr w:type="spellStart"/>
      <w:r w:rsidR="005429F9" w:rsidRPr="00760274">
        <w:t>Mbogo</w:t>
      </w:r>
      <w:proofErr w:type="spellEnd"/>
      <w:r w:rsidR="00C27BA8" w:rsidRPr="00760274">
        <w:t xml:space="preserve"> </w:t>
      </w:r>
    </w:p>
    <w:p w:rsidR="00843794" w:rsidRPr="00760274" w:rsidRDefault="00CA77D3" w:rsidP="00EE2C6B">
      <w:pPr>
        <w:spacing w:before="120" w:after="240" w:line="240" w:lineRule="auto"/>
      </w:pPr>
      <w:r w:rsidRPr="00760274">
        <w:t xml:space="preserve">Chris opened the meeting by inviting the participants to introduce themselves and </w:t>
      </w:r>
      <w:r w:rsidR="005429F9" w:rsidRPr="00760274">
        <w:t>shar</w:t>
      </w:r>
      <w:r w:rsidRPr="00760274">
        <w:t xml:space="preserve">e their </w:t>
      </w:r>
      <w:r w:rsidR="007E48F7" w:rsidRPr="00760274">
        <w:t>aspirations and expectations for</w:t>
      </w:r>
      <w:r w:rsidR="005429F9" w:rsidRPr="00760274">
        <w:t xml:space="preserve"> the discussion</w:t>
      </w:r>
      <w:r w:rsidR="00EE2C6B" w:rsidRPr="00760274">
        <w:t xml:space="preserve">. He </w:t>
      </w:r>
      <w:r w:rsidR="00AD45F0" w:rsidRPr="00760274">
        <w:t>noted that this is a “</w:t>
      </w:r>
      <w:r w:rsidR="00843794" w:rsidRPr="00760274">
        <w:t>hugely important portfolio</w:t>
      </w:r>
      <w:r w:rsidR="00AD45F0" w:rsidRPr="00760274">
        <w:t xml:space="preserve">” and that it </w:t>
      </w:r>
      <w:r w:rsidR="000D506D">
        <w:t>is well-</w:t>
      </w:r>
      <w:r w:rsidR="00AD45F0" w:rsidRPr="00760274">
        <w:t xml:space="preserve">positioned to </w:t>
      </w:r>
      <w:r w:rsidR="00843794" w:rsidRPr="00760274">
        <w:t>inform OSF</w:t>
      </w:r>
      <w:r w:rsidR="00AD45F0" w:rsidRPr="00760274">
        <w:t>’s</w:t>
      </w:r>
      <w:r w:rsidR="00843794" w:rsidRPr="00760274">
        <w:t xml:space="preserve"> work on </w:t>
      </w:r>
      <w:r w:rsidR="00BB0591" w:rsidRPr="00760274">
        <w:t>l</w:t>
      </w:r>
      <w:r w:rsidR="00AD45F0" w:rsidRPr="00760274">
        <w:t>egal empowerment</w:t>
      </w:r>
      <w:r w:rsidR="00843794" w:rsidRPr="00760274">
        <w:t xml:space="preserve"> in general.</w:t>
      </w:r>
      <w:r w:rsidR="00AD45F0" w:rsidRPr="00760274">
        <w:t xml:space="preserve"> He </w:t>
      </w:r>
      <w:r w:rsidR="00B65CEE">
        <w:t>remarked on</w:t>
      </w:r>
      <w:r w:rsidR="00843794" w:rsidRPr="00760274">
        <w:t xml:space="preserve"> the puzzle</w:t>
      </w:r>
      <w:r w:rsidR="00AD45F0" w:rsidRPr="00760274">
        <w:t xml:space="preserve"> </w:t>
      </w:r>
      <w:r w:rsidR="000D506D">
        <w:t xml:space="preserve">of situating OSF’s involvement among </w:t>
      </w:r>
      <w:r w:rsidR="00843794" w:rsidRPr="00760274">
        <w:t xml:space="preserve">fields </w:t>
      </w:r>
      <w:r w:rsidR="000D506D">
        <w:t>or</w:t>
      </w:r>
      <w:r w:rsidR="000D506D" w:rsidRPr="00760274">
        <w:t xml:space="preserve"> </w:t>
      </w:r>
      <w:r w:rsidR="00843794" w:rsidRPr="00760274">
        <w:t xml:space="preserve">concepts: are we supporting the field or creating </w:t>
      </w:r>
      <w:r w:rsidR="000D506D">
        <w:t>it</w:t>
      </w:r>
      <w:r w:rsidR="00AD45F0" w:rsidRPr="00760274">
        <w:t xml:space="preserve">? </w:t>
      </w:r>
      <w:r w:rsidR="006577CD">
        <w:t>He</w:t>
      </w:r>
      <w:r w:rsidR="006577CD" w:rsidRPr="00760274">
        <w:t xml:space="preserve"> </w:t>
      </w:r>
      <w:r w:rsidR="000D506D">
        <w:t xml:space="preserve">further </w:t>
      </w:r>
      <w:r w:rsidR="006577CD">
        <w:t>pointed to</w:t>
      </w:r>
      <w:r w:rsidR="000D506D">
        <w:t xml:space="preserve"> cost as</w:t>
      </w:r>
      <w:r w:rsidR="00BB0591" w:rsidRPr="00760274">
        <w:t xml:space="preserve"> one of the</w:t>
      </w:r>
      <w:r w:rsidR="00843794" w:rsidRPr="00760274">
        <w:t xml:space="preserve"> biggest </w:t>
      </w:r>
      <w:r w:rsidR="00912DC9">
        <w:t xml:space="preserve">barriers to increasing </w:t>
      </w:r>
      <w:r w:rsidR="00BB0591" w:rsidRPr="00760274">
        <w:t>access to justice</w:t>
      </w:r>
      <w:r w:rsidR="00843794" w:rsidRPr="00760274">
        <w:t>.</w:t>
      </w:r>
    </w:p>
    <w:p w:rsidR="00354AFA" w:rsidRPr="00760274" w:rsidRDefault="005429F9" w:rsidP="00354AFA">
      <w:pPr>
        <w:tabs>
          <w:tab w:val="center" w:pos="5040"/>
        </w:tabs>
        <w:spacing w:before="120" w:after="120" w:line="240" w:lineRule="auto"/>
      </w:pPr>
      <w:r w:rsidRPr="00760274">
        <w:t>Tamar presented a brief summary of the portfolio</w:t>
      </w:r>
      <w:r w:rsidR="00873955">
        <w:t>.</w:t>
      </w:r>
      <w:r w:rsidRPr="00760274">
        <w:t xml:space="preserve"> </w:t>
      </w:r>
      <w:r w:rsidR="002A76A1">
        <w:t xml:space="preserve"> She highlighted </w:t>
      </w:r>
      <w:r w:rsidR="00E04ACD">
        <w:t>the impact of human rights violations</w:t>
      </w:r>
      <w:r w:rsidR="00D376CB">
        <w:t xml:space="preserve"> on the health and well-being of </w:t>
      </w:r>
      <w:r w:rsidR="007E48F7" w:rsidRPr="00760274">
        <w:t xml:space="preserve">the socially excluded and criminalized groups with whom </w:t>
      </w:r>
      <w:r w:rsidR="00D376CB">
        <w:t>PHP</w:t>
      </w:r>
      <w:r w:rsidR="007E48F7" w:rsidRPr="00760274">
        <w:t xml:space="preserve"> work</w:t>
      </w:r>
      <w:r w:rsidR="00D376CB">
        <w:t xml:space="preserve">s.  </w:t>
      </w:r>
      <w:proofErr w:type="gramStart"/>
      <w:r w:rsidR="007E48F7" w:rsidRPr="00760274">
        <w:t>Access to justice programs have</w:t>
      </w:r>
      <w:proofErr w:type="gramEnd"/>
      <w:r w:rsidR="007E48F7" w:rsidRPr="00760274">
        <w:t xml:space="preserve"> the potential to address these violations and are as crucial as a condom or medicine to </w:t>
      </w:r>
      <w:r w:rsidR="00354AFA">
        <w:t>their health. While PHP initially conceived of</w:t>
      </w:r>
      <w:r w:rsidR="00354AFA" w:rsidRPr="00760274">
        <w:t xml:space="preserve"> access to justice projects as a means to source strategic litigation</w:t>
      </w:r>
      <w:r w:rsidR="00354AFA">
        <w:t xml:space="preserve">, </w:t>
      </w:r>
      <w:r w:rsidR="00354AFA" w:rsidRPr="00760274">
        <w:t xml:space="preserve">in 2011, we recognized </w:t>
      </w:r>
      <w:r w:rsidR="00354AFA">
        <w:t>this work</w:t>
      </w:r>
      <w:r w:rsidR="00354AFA" w:rsidRPr="00760274">
        <w:t xml:space="preserve"> as critical in its own right. </w:t>
      </w:r>
      <w:r w:rsidR="00354AFA">
        <w:t>We realized that</w:t>
      </w:r>
      <w:r w:rsidR="00354AFA" w:rsidRPr="00760274">
        <w:t xml:space="preserve"> legal services</w:t>
      </w:r>
      <w:r w:rsidR="00354AFA">
        <w:t>,</w:t>
      </w:r>
      <w:r w:rsidR="00354AFA" w:rsidRPr="00760274">
        <w:t xml:space="preserve"> which do not involve going to court</w:t>
      </w:r>
      <w:r w:rsidR="00354AFA">
        <w:t>,</w:t>
      </w:r>
      <w:r w:rsidR="00354AFA" w:rsidRPr="00760274">
        <w:t xml:space="preserve"> are </w:t>
      </w:r>
      <w:r w:rsidR="00354AFA">
        <w:t xml:space="preserve">often </w:t>
      </w:r>
      <w:r w:rsidR="00354AFA" w:rsidRPr="00760274">
        <w:t xml:space="preserve">most needed and </w:t>
      </w:r>
      <w:r w:rsidR="00354AFA">
        <w:t xml:space="preserve">that </w:t>
      </w:r>
      <w:r w:rsidR="00354AFA" w:rsidRPr="00760274">
        <w:t>it is necessary to address a community’s pressing everyday concerns</w:t>
      </w:r>
      <w:r w:rsidR="00354AFA">
        <w:t xml:space="preserve"> before embarking on broader advocacy. </w:t>
      </w:r>
    </w:p>
    <w:p w:rsidR="007E48F7" w:rsidRPr="00760274" w:rsidRDefault="00633EAE" w:rsidP="00354AFA">
      <w:pPr>
        <w:tabs>
          <w:tab w:val="center" w:pos="5040"/>
        </w:tabs>
        <w:spacing w:before="120" w:after="120" w:line="240" w:lineRule="auto"/>
      </w:pPr>
      <w:r>
        <w:t>PHP also</w:t>
      </w:r>
      <w:r w:rsidR="007E48F7" w:rsidRPr="00760274">
        <w:t xml:space="preserve"> realiz</w:t>
      </w:r>
      <w:r>
        <w:t>ed</w:t>
      </w:r>
      <w:r w:rsidR="007E48F7" w:rsidRPr="00760274">
        <w:t xml:space="preserve"> that traditional legal services are not reaching our </w:t>
      </w:r>
      <w:r>
        <w:t xml:space="preserve">target </w:t>
      </w:r>
      <w:r w:rsidR="007E48F7" w:rsidRPr="00760274">
        <w:t>groups and that while we could never meet the demand for legal services, we could potentially make a valuable contribution by piloting, documenting, and promoting effective access to justice models</w:t>
      </w:r>
      <w:r w:rsidR="007E2CC0" w:rsidRPr="00760274">
        <w:t>.</w:t>
      </w:r>
      <w:r w:rsidR="00354AFA">
        <w:t xml:space="preserve"> </w:t>
      </w:r>
      <w:r>
        <w:t xml:space="preserve">Effective approaches we identified include law and health partnerships, lawyering for the marginalized, paralegals drawn from </w:t>
      </w:r>
      <w:r w:rsidR="000D2982">
        <w:t xml:space="preserve">the </w:t>
      </w:r>
      <w:r>
        <w:t xml:space="preserve">communities </w:t>
      </w:r>
      <w:r w:rsidR="000D2982">
        <w:t xml:space="preserve">they </w:t>
      </w:r>
      <w:r>
        <w:t>serve, virtual legal aid, and engagement with community justice structures.</w:t>
      </w:r>
      <w:r w:rsidR="00122017">
        <w:t xml:space="preserve"> </w:t>
      </w:r>
      <w:r w:rsidR="007E2CC0" w:rsidRPr="00760274">
        <w:t>T</w:t>
      </w:r>
      <w:r w:rsidR="007E48F7" w:rsidRPr="00760274">
        <w:t>he last two years</w:t>
      </w:r>
      <w:r w:rsidR="007E2CC0" w:rsidRPr="00760274">
        <w:t xml:space="preserve"> saw an </w:t>
      </w:r>
      <w:r w:rsidR="007E48F7" w:rsidRPr="00760274">
        <w:t xml:space="preserve">increase in operational work complementing our </w:t>
      </w:r>
      <w:proofErr w:type="spellStart"/>
      <w:r w:rsidR="007E48F7" w:rsidRPr="00760274">
        <w:t>grantmaking</w:t>
      </w:r>
      <w:proofErr w:type="spellEnd"/>
      <w:r w:rsidR="007E48F7" w:rsidRPr="00760274">
        <w:t xml:space="preserve"> activities</w:t>
      </w:r>
      <w:r w:rsidR="00122017">
        <w:t>, and w</w:t>
      </w:r>
      <w:r w:rsidR="007E2CC0" w:rsidRPr="00760274">
        <w:t>e place</w:t>
      </w:r>
      <w:r w:rsidR="00122017">
        <w:t>d</w:t>
      </w:r>
      <w:r w:rsidR="007E2CC0" w:rsidRPr="00760274">
        <w:t xml:space="preserve"> a </w:t>
      </w:r>
      <w:r w:rsidR="007E48F7" w:rsidRPr="00760274">
        <w:t>greater emphasis on peer l</w:t>
      </w:r>
      <w:r w:rsidR="007E2CC0" w:rsidRPr="00760274">
        <w:t xml:space="preserve">earning, </w:t>
      </w:r>
      <w:r w:rsidR="007E48F7" w:rsidRPr="00760274">
        <w:t>documenting</w:t>
      </w:r>
      <w:r w:rsidR="00122017">
        <w:t>,</w:t>
      </w:r>
      <w:r w:rsidR="007E48F7" w:rsidRPr="00760274">
        <w:t xml:space="preserve"> and disseminating good practices</w:t>
      </w:r>
      <w:r w:rsidR="0069762F" w:rsidRPr="00760274">
        <w:t>.</w:t>
      </w:r>
      <w:r w:rsidR="007E48F7" w:rsidRPr="00760274">
        <w:t xml:space="preserve"> </w:t>
      </w:r>
    </w:p>
    <w:p w:rsidR="00170C53" w:rsidRPr="00760274" w:rsidRDefault="00122017" w:rsidP="00122017">
      <w:pPr>
        <w:tabs>
          <w:tab w:val="center" w:pos="5040"/>
        </w:tabs>
        <w:spacing w:before="120" w:after="120" w:line="240" w:lineRule="auto"/>
      </w:pPr>
      <w:r>
        <w:t>Ralf explained that e</w:t>
      </w:r>
      <w:r w:rsidR="0069762F" w:rsidRPr="00760274">
        <w:t>valuation</w:t>
      </w:r>
      <w:r w:rsidR="007E48F7" w:rsidRPr="00760274">
        <w:t xml:space="preserve"> and fund leveraging</w:t>
      </w:r>
      <w:r w:rsidR="0069762F" w:rsidRPr="00760274">
        <w:t xml:space="preserve"> work ha</w:t>
      </w:r>
      <w:r>
        <w:t>ve</w:t>
      </w:r>
      <w:r w:rsidR="0069762F" w:rsidRPr="00760274">
        <w:t xml:space="preserve"> </w:t>
      </w:r>
      <w:r w:rsidR="00546714">
        <w:t xml:space="preserve">further </w:t>
      </w:r>
      <w:r w:rsidR="0069762F" w:rsidRPr="00760274">
        <w:t xml:space="preserve">received greater attention in recent years </w:t>
      </w:r>
      <w:r>
        <w:t>as we have been grappling with the challenge of</w:t>
      </w:r>
      <w:r w:rsidR="0069762F" w:rsidRPr="00760274">
        <w:t xml:space="preserve"> </w:t>
      </w:r>
      <w:r w:rsidR="00170C53" w:rsidRPr="00760274">
        <w:t>scal</w:t>
      </w:r>
      <w:r w:rsidR="0069762F" w:rsidRPr="00760274">
        <w:t>ing</w:t>
      </w:r>
      <w:r w:rsidR="00170C53" w:rsidRPr="00760274">
        <w:t xml:space="preserve"> up and sustainability. </w:t>
      </w:r>
      <w:r w:rsidR="0069762F" w:rsidRPr="00760274">
        <w:t>We w</w:t>
      </w:r>
      <w:r w:rsidR="00170C53" w:rsidRPr="00760274">
        <w:t xml:space="preserve">anted to </w:t>
      </w:r>
      <w:r w:rsidR="002000C7" w:rsidRPr="00760274">
        <w:t xml:space="preserve">promote </w:t>
      </w:r>
      <w:r w:rsidR="0069762F" w:rsidRPr="00760274">
        <w:t xml:space="preserve">access-to-justice-for-health interventions as human rights </w:t>
      </w:r>
      <w:r w:rsidR="002000C7" w:rsidRPr="00760274">
        <w:t>interventions</w:t>
      </w:r>
      <w:r w:rsidR="00170C53" w:rsidRPr="00760274">
        <w:t xml:space="preserve"> and needed to </w:t>
      </w:r>
      <w:r w:rsidR="0069762F" w:rsidRPr="00760274">
        <w:t xml:space="preserve">better understand </w:t>
      </w:r>
      <w:r w:rsidR="002000C7" w:rsidRPr="00760274">
        <w:t>where t</w:t>
      </w:r>
      <w:r w:rsidR="00170C53" w:rsidRPr="00760274">
        <w:t xml:space="preserve">here are opportunities to get </w:t>
      </w:r>
      <w:r w:rsidR="002000C7" w:rsidRPr="00760274">
        <w:t>governments</w:t>
      </w:r>
      <w:r w:rsidR="00170C53" w:rsidRPr="00760274">
        <w:t xml:space="preserve"> </w:t>
      </w:r>
      <w:r w:rsidR="0069762F" w:rsidRPr="00760274">
        <w:t xml:space="preserve">onboard, as well as to bridge the gap between the health and justice donors since the latter are </w:t>
      </w:r>
      <w:r w:rsidR="002A72C6" w:rsidRPr="00760274">
        <w:t xml:space="preserve">mostly </w:t>
      </w:r>
      <w:r w:rsidR="0069762F" w:rsidRPr="00760274">
        <w:t>not aware of the health benefits of such interventions.</w:t>
      </w:r>
      <w:r w:rsidR="00E1044D" w:rsidRPr="00760274">
        <w:t xml:space="preserve"> </w:t>
      </w:r>
      <w:r w:rsidR="00F27C69" w:rsidRPr="00760274">
        <w:t xml:space="preserve">We learnt that rigorous academic evaluations are a </w:t>
      </w:r>
      <w:r w:rsidR="00170C53" w:rsidRPr="00760274">
        <w:t>long and costly effort</w:t>
      </w:r>
      <w:r>
        <w:t>;</w:t>
      </w:r>
      <w:r w:rsidR="00170C53" w:rsidRPr="00760274">
        <w:t xml:space="preserve"> </w:t>
      </w:r>
      <w:r w:rsidR="00F27C69" w:rsidRPr="00760274">
        <w:t>therefore</w:t>
      </w:r>
      <w:r w:rsidR="00B54504">
        <w:t>,</w:t>
      </w:r>
      <w:r w:rsidR="00F27C69" w:rsidRPr="00760274">
        <w:t xml:space="preserve"> we have moved on to </w:t>
      </w:r>
      <w:r w:rsidR="00170C53" w:rsidRPr="00760274">
        <w:t xml:space="preserve">a more flexible </w:t>
      </w:r>
      <w:r w:rsidR="00F27C69" w:rsidRPr="00760274">
        <w:t xml:space="preserve">and </w:t>
      </w:r>
      <w:r w:rsidR="00170C53" w:rsidRPr="00760274">
        <w:t xml:space="preserve">less costly </w:t>
      </w:r>
      <w:r w:rsidR="002A72C6" w:rsidRPr="00760274">
        <w:t>approach</w:t>
      </w:r>
      <w:r w:rsidR="00170C53" w:rsidRPr="00760274">
        <w:t xml:space="preserve"> that </w:t>
      </w:r>
      <w:r w:rsidR="005E5FD8" w:rsidRPr="00760274">
        <w:t>focuses</w:t>
      </w:r>
      <w:r w:rsidR="00170C53" w:rsidRPr="00760274">
        <w:t xml:space="preserve"> as much on </w:t>
      </w:r>
      <w:r w:rsidR="00170C53" w:rsidRPr="00760274">
        <w:lastRenderedPageBreak/>
        <w:t>bui</w:t>
      </w:r>
      <w:r w:rsidR="005E5FD8" w:rsidRPr="00760274">
        <w:t>lding</w:t>
      </w:r>
      <w:r w:rsidR="00170C53" w:rsidRPr="00760274">
        <w:t xml:space="preserve"> gra</w:t>
      </w:r>
      <w:r w:rsidR="005E5FD8" w:rsidRPr="00760274">
        <w:t>ntees</w:t>
      </w:r>
      <w:r w:rsidR="000D2982">
        <w:t>’</w:t>
      </w:r>
      <w:r w:rsidR="005E5FD8" w:rsidRPr="00760274">
        <w:t xml:space="preserve"> </w:t>
      </w:r>
      <w:r w:rsidR="002A72C6" w:rsidRPr="00760274">
        <w:t xml:space="preserve">capacity </w:t>
      </w:r>
      <w:r w:rsidR="005E5FD8" w:rsidRPr="00760274">
        <w:t>to monitor and document work as</w:t>
      </w:r>
      <w:r w:rsidR="00F27C69" w:rsidRPr="00760274">
        <w:t xml:space="preserve"> on </w:t>
      </w:r>
      <w:r w:rsidR="005E5FD8" w:rsidRPr="00760274">
        <w:t>building evidence of h</w:t>
      </w:r>
      <w:r w:rsidR="00170C53" w:rsidRPr="00760274">
        <w:t>ea</w:t>
      </w:r>
      <w:r w:rsidR="005E5FD8" w:rsidRPr="00760274">
        <w:t>l</w:t>
      </w:r>
      <w:r w:rsidR="00170C53" w:rsidRPr="00760274">
        <w:t xml:space="preserve">th </w:t>
      </w:r>
      <w:r w:rsidR="002A72C6" w:rsidRPr="00760274">
        <w:t xml:space="preserve">promoting legal </w:t>
      </w:r>
      <w:r w:rsidR="005E5FD8" w:rsidRPr="00760274">
        <w:t>interventions</w:t>
      </w:r>
      <w:r w:rsidR="00170C53" w:rsidRPr="00760274">
        <w:t>.</w:t>
      </w:r>
    </w:p>
    <w:p w:rsidR="009C1CAA" w:rsidRPr="00760274" w:rsidRDefault="00170C53" w:rsidP="00546714">
      <w:pPr>
        <w:tabs>
          <w:tab w:val="center" w:pos="5040"/>
        </w:tabs>
      </w:pPr>
      <w:r w:rsidRPr="00760274">
        <w:t>Martin</w:t>
      </w:r>
      <w:r w:rsidR="00F27C69" w:rsidRPr="00760274">
        <w:t>, the discussant</w:t>
      </w:r>
      <w:r w:rsidR="003D3CC7">
        <w:t>, stressed the importance of n</w:t>
      </w:r>
      <w:r w:rsidR="009C1CAA" w:rsidRPr="00760274">
        <w:t xml:space="preserve">eeds assessments to identifying the best strategy as the barriers vary from county to county, from context to context. </w:t>
      </w:r>
      <w:r w:rsidR="000D2982">
        <w:t>S</w:t>
      </w:r>
      <w:r w:rsidR="009C1CAA" w:rsidRPr="00760274">
        <w:t>ustainability and scalability are complex issues</w:t>
      </w:r>
      <w:r w:rsidR="00556C79" w:rsidRPr="00760274">
        <w:t xml:space="preserve">. The puzzling question is “if the benefits of these approaches are so obvious, why are others not </w:t>
      </w:r>
      <w:r w:rsidR="000D2982">
        <w:t>funding them</w:t>
      </w:r>
      <w:r w:rsidR="00556C79" w:rsidRPr="00760274">
        <w:t xml:space="preserve">?” </w:t>
      </w:r>
    </w:p>
    <w:p w:rsidR="009673B9" w:rsidRDefault="00E67D59" w:rsidP="009C1CAA">
      <w:pPr>
        <w:tabs>
          <w:tab w:val="center" w:pos="5040"/>
        </w:tabs>
      </w:pPr>
      <w:r w:rsidRPr="00760274">
        <w:t xml:space="preserve">Further discussion </w:t>
      </w:r>
      <w:r w:rsidR="00546714">
        <w:t>highlighted</w:t>
      </w:r>
      <w:r w:rsidR="00546714" w:rsidRPr="00760274">
        <w:t xml:space="preserve"> </w:t>
      </w:r>
      <w:r w:rsidRPr="00760274">
        <w:t>the following</w:t>
      </w:r>
      <w:r w:rsidR="00B30418">
        <w:t xml:space="preserve"> key points</w:t>
      </w:r>
      <w:r w:rsidRPr="00760274">
        <w:t>:</w:t>
      </w:r>
    </w:p>
    <w:p w:rsidR="009673B9" w:rsidRDefault="000B48C4" w:rsidP="0074037D">
      <w:pPr>
        <w:pStyle w:val="ListParagraph"/>
        <w:numPr>
          <w:ilvl w:val="0"/>
          <w:numId w:val="5"/>
        </w:numPr>
        <w:tabs>
          <w:tab w:val="center" w:pos="5040"/>
        </w:tabs>
        <w:spacing w:before="120" w:after="120" w:line="240" w:lineRule="auto"/>
        <w:ind w:left="778"/>
        <w:contextualSpacing w:val="0"/>
      </w:pPr>
      <w:r w:rsidRPr="00760274">
        <w:t>B</w:t>
      </w:r>
      <w:r w:rsidR="009673B9" w:rsidRPr="00760274">
        <w:t xml:space="preserve">uilding </w:t>
      </w:r>
      <w:r w:rsidR="001F1213">
        <w:t xml:space="preserve">the </w:t>
      </w:r>
      <w:r w:rsidR="009673B9" w:rsidRPr="00760274">
        <w:t xml:space="preserve">capacity of groups to </w:t>
      </w:r>
      <w:r w:rsidR="001F1213">
        <w:t xml:space="preserve">document their </w:t>
      </w:r>
      <w:r w:rsidR="00675748">
        <w:t xml:space="preserve">own </w:t>
      </w:r>
      <w:r w:rsidR="001F1213">
        <w:t>work</w:t>
      </w:r>
      <w:r w:rsidRPr="00760274">
        <w:t xml:space="preserve"> is </w:t>
      </w:r>
      <w:r w:rsidR="001F1213">
        <w:t xml:space="preserve">critical to </w:t>
      </w:r>
      <w:r w:rsidR="009673B9" w:rsidRPr="00760274">
        <w:t>surfac</w:t>
      </w:r>
      <w:r w:rsidR="00232078" w:rsidRPr="00760274">
        <w:t>ing</w:t>
      </w:r>
      <w:r w:rsidR="009673B9" w:rsidRPr="00760274">
        <w:t xml:space="preserve"> patterns</w:t>
      </w:r>
      <w:r w:rsidRPr="00760274">
        <w:t xml:space="preserve"> </w:t>
      </w:r>
      <w:r w:rsidR="001F1213">
        <w:t>for systemic advocacy and fund leveraging</w:t>
      </w:r>
      <w:r w:rsidR="009673B9" w:rsidRPr="00760274">
        <w:t>.</w:t>
      </w:r>
    </w:p>
    <w:p w:rsidR="003816B1" w:rsidRPr="00760274" w:rsidRDefault="003816B1" w:rsidP="003816B1">
      <w:pPr>
        <w:pStyle w:val="ListParagraph"/>
        <w:numPr>
          <w:ilvl w:val="0"/>
          <w:numId w:val="5"/>
        </w:numPr>
        <w:tabs>
          <w:tab w:val="center" w:pos="5040"/>
        </w:tabs>
        <w:spacing w:before="120" w:after="120" w:line="240" w:lineRule="auto"/>
        <w:ind w:left="778"/>
        <w:contextualSpacing w:val="0"/>
      </w:pPr>
      <w:r w:rsidRPr="00760274">
        <w:t>In hostile country contexts</w:t>
      </w:r>
      <w:r>
        <w:t>,</w:t>
      </w:r>
      <w:r w:rsidRPr="00760274">
        <w:t xml:space="preserve"> even the most effective projects </w:t>
      </w:r>
      <w:r>
        <w:t>have a hard time influencing change at a policy level</w:t>
      </w:r>
      <w:r w:rsidRPr="00760274">
        <w:t xml:space="preserve">.  </w:t>
      </w:r>
      <w:r>
        <w:t xml:space="preserve">However, they can result in other systemic </w:t>
      </w:r>
      <w:r w:rsidRPr="00760274">
        <w:t xml:space="preserve">outcomes, such as </w:t>
      </w:r>
      <w:r>
        <w:t xml:space="preserve">the </w:t>
      </w:r>
      <w:r w:rsidRPr="00760274">
        <w:t>empowerment of people to represent themselves</w:t>
      </w:r>
      <w:r>
        <w:t xml:space="preserve"> and</w:t>
      </w:r>
      <w:r w:rsidRPr="00760274">
        <w:t xml:space="preserve"> change</w:t>
      </w:r>
      <w:r>
        <w:t>s</w:t>
      </w:r>
      <w:r w:rsidRPr="00760274">
        <w:t xml:space="preserve"> </w:t>
      </w:r>
      <w:r>
        <w:t>in</w:t>
      </w:r>
      <w:r w:rsidRPr="00760274">
        <w:t xml:space="preserve"> attitudes </w:t>
      </w:r>
      <w:r>
        <w:t>and behavior by those in power</w:t>
      </w:r>
      <w:r w:rsidRPr="00760274">
        <w:t xml:space="preserve">. </w:t>
      </w:r>
      <w:r>
        <w:t>This i</w:t>
      </w:r>
      <w:r w:rsidRPr="00760274">
        <w:t xml:space="preserve">mpact on practice can sometimes be more important than </w:t>
      </w:r>
      <w:r>
        <w:t xml:space="preserve">a </w:t>
      </w:r>
      <w:r w:rsidRPr="00760274">
        <w:t>policy change itself</w:t>
      </w:r>
      <w:r>
        <w:t>, which is not always implemented</w:t>
      </w:r>
      <w:r w:rsidRPr="00760274">
        <w:t xml:space="preserve">. </w:t>
      </w:r>
    </w:p>
    <w:p w:rsidR="003874A8" w:rsidRDefault="00F3441B" w:rsidP="00497211">
      <w:pPr>
        <w:pStyle w:val="ListParagraph"/>
        <w:numPr>
          <w:ilvl w:val="0"/>
          <w:numId w:val="5"/>
        </w:numPr>
        <w:tabs>
          <w:tab w:val="center" w:pos="5040"/>
        </w:tabs>
        <w:spacing w:before="120" w:after="120" w:line="240" w:lineRule="auto"/>
        <w:ind w:left="778"/>
        <w:contextualSpacing w:val="0"/>
      </w:pPr>
      <w:r>
        <w:t xml:space="preserve">PHP needs to define with greater clarity </w:t>
      </w:r>
      <w:r w:rsidR="00D33316">
        <w:t>the different approaches we are holding up as good practices.</w:t>
      </w:r>
      <w:r w:rsidR="001E09FA">
        <w:t xml:space="preserve"> </w:t>
      </w:r>
      <w:r w:rsidR="00497211">
        <w:t>W</w:t>
      </w:r>
      <w:r w:rsidR="003874A8" w:rsidRPr="00760274">
        <w:t xml:space="preserve">hen others begin implementing the work, it may change significantly. It is </w:t>
      </w:r>
      <w:r w:rsidR="00CC488A">
        <w:t xml:space="preserve">thus </w:t>
      </w:r>
      <w:r w:rsidR="003874A8" w:rsidRPr="00760274">
        <w:t>important to have a good manual detailing what works well and represents the gold standard of good practice.</w:t>
      </w:r>
      <w:r w:rsidR="00CC488A" w:rsidRPr="00CC488A">
        <w:t xml:space="preserve"> </w:t>
      </w:r>
      <w:r w:rsidR="00CC488A">
        <w:t>Additionally, in what contexts are particular approaches more effective than others? Is there a tension between the legal empowerment and the lawyering for the marginalized approaches we are supporting, or are these complementary?</w:t>
      </w:r>
    </w:p>
    <w:p w:rsidR="003874A8" w:rsidRPr="00760274" w:rsidRDefault="00497211" w:rsidP="002D5B87">
      <w:pPr>
        <w:pStyle w:val="ListParagraph"/>
        <w:numPr>
          <w:ilvl w:val="0"/>
          <w:numId w:val="5"/>
        </w:numPr>
        <w:tabs>
          <w:tab w:val="center" w:pos="5040"/>
        </w:tabs>
        <w:spacing w:before="120" w:after="120" w:line="240" w:lineRule="auto"/>
        <w:ind w:left="778"/>
        <w:contextualSpacing w:val="0"/>
      </w:pPr>
      <w:r>
        <w:t xml:space="preserve">At the same time, </w:t>
      </w:r>
      <w:r w:rsidR="003874A8">
        <w:t xml:space="preserve">PHP also needs to more clearly define </w:t>
      </w:r>
      <w:r>
        <w:t>which</w:t>
      </w:r>
      <w:r w:rsidR="003874A8">
        <w:t xml:space="preserve"> parts of particular approaches may be possible to scale up. In assessing scalability, it is important to look at what is doable, as opposed to what would be the ideal, gold standard. </w:t>
      </w:r>
      <w:r w:rsidR="002D5B87">
        <w:t xml:space="preserve">It may not be possible to scale up everything. For instance, </w:t>
      </w:r>
      <w:r w:rsidR="003874A8" w:rsidRPr="00760274">
        <w:t xml:space="preserve">compensated paralegals </w:t>
      </w:r>
      <w:r w:rsidR="002D5B87">
        <w:t>may obtain</w:t>
      </w:r>
      <w:r w:rsidR="002D5B87" w:rsidRPr="00760274">
        <w:t xml:space="preserve"> </w:t>
      </w:r>
      <w:r w:rsidR="003874A8" w:rsidRPr="00760274">
        <w:t>better outcomes than uncompensated</w:t>
      </w:r>
      <w:r w:rsidR="002D5B87">
        <w:t xml:space="preserve"> ones</w:t>
      </w:r>
      <w:r w:rsidR="003874A8" w:rsidRPr="00760274">
        <w:t xml:space="preserve">. </w:t>
      </w:r>
      <w:r w:rsidR="002D5B87">
        <w:t>However, s</w:t>
      </w:r>
      <w:r w:rsidR="003874A8" w:rsidRPr="00760274">
        <w:t>caling up compensated paralegals may be impossible</w:t>
      </w:r>
      <w:r w:rsidR="002D5B87">
        <w:t xml:space="preserve"> due to costs</w:t>
      </w:r>
      <w:r w:rsidR="003874A8" w:rsidRPr="00760274">
        <w:t xml:space="preserve">, whereas scaling up uncompensated paralegals can be doable. How can we maximize the value? </w:t>
      </w:r>
      <w:r w:rsidR="002D5B87">
        <w:t xml:space="preserve">Can we </w:t>
      </w:r>
      <w:r w:rsidR="003874A8" w:rsidRPr="00760274">
        <w:t>get the uncompensated model work better, if it is a more scalable one?</w:t>
      </w:r>
      <w:r w:rsidR="00972387">
        <w:t xml:space="preserve"> </w:t>
      </w:r>
      <w:r>
        <w:t>There are lessons for this from paralegal programs in India, as well as a PHP-supported project in Uganda, where paralegals are hybrid workers</w:t>
      </w:r>
      <w:r w:rsidR="00FB7B03">
        <w:t>, already employed and serving other key functions for which the paralegal role is complementary.</w:t>
      </w:r>
    </w:p>
    <w:p w:rsidR="00FB7B03" w:rsidRPr="00760274" w:rsidRDefault="00FB7B03" w:rsidP="00FB7B03">
      <w:pPr>
        <w:pStyle w:val="ListParagraph"/>
        <w:numPr>
          <w:ilvl w:val="0"/>
          <w:numId w:val="5"/>
        </w:numPr>
        <w:tabs>
          <w:tab w:val="center" w:pos="5040"/>
        </w:tabs>
        <w:spacing w:before="120" w:after="120" w:line="240" w:lineRule="auto"/>
        <w:ind w:left="778"/>
        <w:contextualSpacing w:val="0"/>
      </w:pPr>
      <w:r w:rsidRPr="00760274">
        <w:t>In some cases</w:t>
      </w:r>
      <w:r w:rsidR="00224481">
        <w:t>,</w:t>
      </w:r>
      <w:r w:rsidRPr="00760274">
        <w:t xml:space="preserve"> scalability may not be the end goal</w:t>
      </w:r>
      <w:r w:rsidR="00224481">
        <w:t>, and it is important to keep this in mind</w:t>
      </w:r>
      <w:r w:rsidRPr="00760274">
        <w:t>.</w:t>
      </w:r>
      <w:r w:rsidR="00224481">
        <w:t xml:space="preserve"> Certain parts of PHP’s participatory access to justice portfolio are valuable even if they cannot be scaled up, enabling socially excluded and criminalized </w:t>
      </w:r>
      <w:r w:rsidRPr="00760274">
        <w:t xml:space="preserve">populations to challenge power </w:t>
      </w:r>
      <w:r w:rsidR="00224481">
        <w:t xml:space="preserve">relations </w:t>
      </w:r>
      <w:r w:rsidRPr="00760274">
        <w:t xml:space="preserve">and </w:t>
      </w:r>
      <w:r w:rsidR="00224481">
        <w:t>have their voices heard</w:t>
      </w:r>
      <w:r w:rsidRPr="00760274">
        <w:t xml:space="preserve">. </w:t>
      </w:r>
    </w:p>
    <w:p w:rsidR="00C2378C" w:rsidRDefault="00EE0D11" w:rsidP="00C2378C">
      <w:pPr>
        <w:pStyle w:val="ListParagraph"/>
        <w:numPr>
          <w:ilvl w:val="0"/>
          <w:numId w:val="5"/>
        </w:numPr>
        <w:tabs>
          <w:tab w:val="center" w:pos="5040"/>
        </w:tabs>
        <w:spacing w:before="120" w:after="120" w:line="240" w:lineRule="auto"/>
        <w:ind w:left="778"/>
        <w:contextualSpacing w:val="0"/>
      </w:pPr>
      <w:r>
        <w:t>In obtaining funding for scale up, PHP n</w:t>
      </w:r>
      <w:r w:rsidRPr="00760274">
        <w:t>eed</w:t>
      </w:r>
      <w:r>
        <w:t>s</w:t>
      </w:r>
      <w:r w:rsidRPr="00760274">
        <w:t xml:space="preserve"> to </w:t>
      </w:r>
      <w:r w:rsidR="00324F25">
        <w:t>understand</w:t>
      </w:r>
      <w:r w:rsidRPr="00760274">
        <w:t xml:space="preserve"> </w:t>
      </w:r>
      <w:r>
        <w:t>the motivations of the</w:t>
      </w:r>
      <w:r w:rsidRPr="00760274">
        <w:t xml:space="preserve"> funders</w:t>
      </w:r>
      <w:r>
        <w:t xml:space="preserve"> to appeal to them. They may </w:t>
      </w:r>
      <w:r w:rsidRPr="00760274">
        <w:t xml:space="preserve">not necessarily </w:t>
      </w:r>
      <w:r w:rsidR="00324F25">
        <w:t xml:space="preserve">be </w:t>
      </w:r>
      <w:r w:rsidRPr="00760274">
        <w:t>interested in funding effective approaches</w:t>
      </w:r>
      <w:r>
        <w:t xml:space="preserve">.  </w:t>
      </w:r>
      <w:r w:rsidR="00324F25">
        <w:t>The</w:t>
      </w:r>
      <w:r>
        <w:t xml:space="preserve"> </w:t>
      </w:r>
      <w:r w:rsidR="00C2378C" w:rsidRPr="00760274">
        <w:t xml:space="preserve">underlying assumption that if the program works, someone will </w:t>
      </w:r>
      <w:r w:rsidR="001D3E0B">
        <w:t xml:space="preserve">be interested in paying for </w:t>
      </w:r>
      <w:proofErr w:type="gramStart"/>
      <w:r w:rsidR="001D3E0B">
        <w:t>it,</w:t>
      </w:r>
      <w:proofErr w:type="gramEnd"/>
      <w:r w:rsidR="001D3E0B">
        <w:t xml:space="preserve"> </w:t>
      </w:r>
      <w:r w:rsidR="00C2378C" w:rsidRPr="00760274">
        <w:t>does</w:t>
      </w:r>
      <w:r w:rsidR="00324F25">
        <w:t xml:space="preserve"> </w:t>
      </w:r>
      <w:r w:rsidR="00C2378C" w:rsidRPr="00760274">
        <w:t>n</w:t>
      </w:r>
      <w:r w:rsidR="00324F25">
        <w:t>o</w:t>
      </w:r>
      <w:r w:rsidR="00C2378C" w:rsidRPr="00760274">
        <w:t xml:space="preserve">t always hold. Providing political value has often been the key for realizing scalability. Whether it is national authorities or </w:t>
      </w:r>
      <w:r w:rsidR="00324F25">
        <w:t>other private donors</w:t>
      </w:r>
      <w:r w:rsidR="00C2378C" w:rsidRPr="00760274">
        <w:t>, de</w:t>
      </w:r>
      <w:r w:rsidR="00324F25">
        <w:t>cisions are not always evidence-</w:t>
      </w:r>
      <w:r w:rsidR="00C2378C" w:rsidRPr="00760274">
        <w:t xml:space="preserve">based. Understanding the dynamics in adopting certain policies is crucial. </w:t>
      </w:r>
      <w:r w:rsidR="004C1A32">
        <w:t xml:space="preserve"> </w:t>
      </w:r>
      <w:r w:rsidR="004C1A32" w:rsidRPr="00760274">
        <w:t>A</w:t>
      </w:r>
      <w:r w:rsidR="004C1A32">
        <w:t>dditionally, a</w:t>
      </w:r>
      <w:r w:rsidR="004C1A32" w:rsidRPr="00760274">
        <w:t xml:space="preserve">ny change happens after a tipping point is reached. </w:t>
      </w:r>
      <w:r w:rsidR="004C1A32">
        <w:t xml:space="preserve">PHP needs to </w:t>
      </w:r>
      <w:r w:rsidR="004C1A32" w:rsidRPr="00760274">
        <w:t xml:space="preserve">contribute to building </w:t>
      </w:r>
      <w:r w:rsidR="004C1A32">
        <w:t>a</w:t>
      </w:r>
      <w:r w:rsidR="004C1A32" w:rsidRPr="00760274">
        <w:t xml:space="preserve"> critical mass of interested funders (both traditional and private) and reaching such a moment.</w:t>
      </w:r>
    </w:p>
    <w:p w:rsidR="00556C79" w:rsidRPr="00760274" w:rsidRDefault="009A68B2" w:rsidP="0074037D">
      <w:pPr>
        <w:pStyle w:val="ListParagraph"/>
        <w:numPr>
          <w:ilvl w:val="0"/>
          <w:numId w:val="5"/>
        </w:numPr>
        <w:tabs>
          <w:tab w:val="center" w:pos="5040"/>
        </w:tabs>
        <w:spacing w:before="120" w:after="120" w:line="240" w:lineRule="auto"/>
        <w:ind w:left="778"/>
        <w:contextualSpacing w:val="0"/>
      </w:pPr>
      <w:r>
        <w:lastRenderedPageBreak/>
        <w:t xml:space="preserve">There may be untapped potential for </w:t>
      </w:r>
      <w:r w:rsidR="00B326AE">
        <w:t>funding from Ministries of Health</w:t>
      </w:r>
      <w:r w:rsidR="00B25F28">
        <w:t xml:space="preserve"> by having </w:t>
      </w:r>
      <w:r w:rsidR="00556C79" w:rsidRPr="00760274">
        <w:t>public health officials on board and champion</w:t>
      </w:r>
      <w:r w:rsidR="00B25F28">
        <w:t>ing</w:t>
      </w:r>
      <w:r w:rsidR="00556C79" w:rsidRPr="00760274">
        <w:t xml:space="preserve"> </w:t>
      </w:r>
      <w:r w:rsidR="00B25F28">
        <w:t>access to justice</w:t>
      </w:r>
      <w:r w:rsidR="00556C79" w:rsidRPr="00760274">
        <w:t xml:space="preserve"> approaches. </w:t>
      </w:r>
      <w:r w:rsidR="00BC2B26" w:rsidRPr="00760274">
        <w:t xml:space="preserve">This </w:t>
      </w:r>
      <w:r w:rsidR="00B25F28">
        <w:t xml:space="preserve">could be possible in the context of HIV or palliative care, while </w:t>
      </w:r>
      <w:r w:rsidR="00C6698F">
        <w:t xml:space="preserve">perhaps </w:t>
      </w:r>
      <w:r w:rsidR="00B25F28">
        <w:t xml:space="preserve">more difficult in the </w:t>
      </w:r>
      <w:r w:rsidR="00BC2B26" w:rsidRPr="00760274">
        <w:t>context of sex work</w:t>
      </w:r>
      <w:r w:rsidR="00B25F28">
        <w:t xml:space="preserve"> or drug use</w:t>
      </w:r>
      <w:r w:rsidR="00BC2B26" w:rsidRPr="00760274">
        <w:t xml:space="preserve">.  </w:t>
      </w:r>
    </w:p>
    <w:p w:rsidR="00607D14" w:rsidRDefault="00607D14" w:rsidP="007B725F">
      <w:pPr>
        <w:spacing w:after="0"/>
      </w:pPr>
    </w:p>
    <w:p w:rsidR="007B725F" w:rsidRPr="00BB24C9" w:rsidRDefault="007B725F" w:rsidP="007B725F">
      <w:pPr>
        <w:spacing w:after="0"/>
        <w:rPr>
          <w:b/>
        </w:rPr>
      </w:pPr>
      <w:r w:rsidRPr="00BB24C9">
        <w:rPr>
          <w:b/>
        </w:rPr>
        <w:t>Next Steps:</w:t>
      </w:r>
    </w:p>
    <w:p w:rsidR="00BB24C9" w:rsidRDefault="00BB24C9" w:rsidP="007B725F">
      <w:pPr>
        <w:pStyle w:val="ListParagraph"/>
        <w:numPr>
          <w:ilvl w:val="0"/>
          <w:numId w:val="7"/>
        </w:numPr>
        <w:spacing w:after="0"/>
      </w:pPr>
      <w:r>
        <w:t xml:space="preserve">PHP will increase efforts to build grantees’ capacity to document their work </w:t>
      </w:r>
      <w:r w:rsidR="00A46F3F">
        <w:t>and link it to advocacy and fund leveraging</w:t>
      </w:r>
      <w:r w:rsidR="00607D14">
        <w:t xml:space="preserve">. </w:t>
      </w:r>
      <w:r w:rsidR="00A46F3F">
        <w:t xml:space="preserve"> </w:t>
      </w:r>
      <w:r w:rsidR="00607D14">
        <w:t>We will do this through partnering</w:t>
      </w:r>
      <w:r>
        <w:t xml:space="preserve"> with the Justice Initiative</w:t>
      </w:r>
      <w:r w:rsidR="00A46F3F">
        <w:t xml:space="preserve"> </w:t>
      </w:r>
      <w:r w:rsidR="00607D14">
        <w:t>to provide technical assistance to our grantees on documentation</w:t>
      </w:r>
      <w:r w:rsidR="00A46F3F">
        <w:t>.</w:t>
      </w:r>
    </w:p>
    <w:p w:rsidR="003816B1" w:rsidRDefault="003816B1" w:rsidP="007B725F">
      <w:pPr>
        <w:pStyle w:val="ListParagraph"/>
        <w:numPr>
          <w:ilvl w:val="0"/>
          <w:numId w:val="7"/>
        </w:numPr>
        <w:spacing w:after="0"/>
      </w:pPr>
      <w:r>
        <w:t>Over the next two years, PHP will work with grantees to better document systemic outcomes resulting f</w:t>
      </w:r>
      <w:r w:rsidR="009C3136">
        <w:t>rom</w:t>
      </w:r>
      <w:r>
        <w:t xml:space="preserve"> access to justice interventions.</w:t>
      </w:r>
      <w:r w:rsidR="005902A7">
        <w:t xml:space="preserve"> We </w:t>
      </w:r>
      <w:r w:rsidR="00E01713">
        <w:t>will keep</w:t>
      </w:r>
      <w:r w:rsidR="000173EC">
        <w:t xml:space="preserve"> </w:t>
      </w:r>
      <w:r w:rsidR="005902A7">
        <w:t xml:space="preserve">a running-list of these outcomes based on grantee reports and site visits. For our access to justice work with Roma, we will be working with an outside evaluator to report on changes against </w:t>
      </w:r>
      <w:r w:rsidR="00841F8F">
        <w:t>indic</w:t>
      </w:r>
      <w:r w:rsidR="009C3136">
        <w:t>a</w:t>
      </w:r>
      <w:r w:rsidR="00841F8F">
        <w:t>tors across four dimensions: civil society capacity to challenge violations, changes in enforcement and accountability, changes in law or policy, and impact on beneficiaries.</w:t>
      </w:r>
      <w:r w:rsidR="00FD407A">
        <w:t xml:space="preserve">  We will also partner with researche</w:t>
      </w:r>
      <w:r w:rsidR="00174716">
        <w:t xml:space="preserve">rs to examine the impact of </w:t>
      </w:r>
      <w:r w:rsidR="00FD407A">
        <w:t>access to justice work focused on some of our other key populations.</w:t>
      </w:r>
    </w:p>
    <w:p w:rsidR="007B725F" w:rsidRDefault="007B725F" w:rsidP="007B725F">
      <w:pPr>
        <w:pStyle w:val="ListParagraph"/>
        <w:numPr>
          <w:ilvl w:val="0"/>
          <w:numId w:val="7"/>
        </w:numPr>
        <w:spacing w:after="0"/>
      </w:pPr>
      <w:r>
        <w:t xml:space="preserve">PHP will use the upcoming </w:t>
      </w:r>
      <w:r w:rsidRPr="003816B1">
        <w:rPr>
          <w:i/>
        </w:rPr>
        <w:t>Good Practice Guide</w:t>
      </w:r>
      <w:r>
        <w:t>, reflecting on the seven years supporting access to justice projects, to more clearly define the different approaches we are holding up as good practices</w:t>
      </w:r>
      <w:r w:rsidR="00483211">
        <w:t xml:space="preserve"> and what is most effective in different contexts</w:t>
      </w:r>
      <w:r>
        <w:t>.</w:t>
      </w:r>
    </w:p>
    <w:p w:rsidR="00903F01" w:rsidRDefault="00903F01" w:rsidP="007B725F">
      <w:pPr>
        <w:pStyle w:val="ListParagraph"/>
        <w:numPr>
          <w:ilvl w:val="0"/>
          <w:numId w:val="7"/>
        </w:numPr>
        <w:spacing w:after="0"/>
      </w:pPr>
      <w:r>
        <w:t>With</w:t>
      </w:r>
      <w:r w:rsidR="00972387">
        <w:t xml:space="preserve"> the </w:t>
      </w:r>
      <w:r w:rsidR="00972387" w:rsidRPr="003816B1">
        <w:rPr>
          <w:i/>
        </w:rPr>
        <w:t>Good Practice Guide</w:t>
      </w:r>
      <w:r w:rsidR="00972387">
        <w:t xml:space="preserve"> as a starting point, PHP </w:t>
      </w:r>
      <w:r w:rsidR="00160302">
        <w:t xml:space="preserve">will reflect further </w:t>
      </w:r>
      <w:r>
        <w:t xml:space="preserve">on </w:t>
      </w:r>
      <w:r w:rsidR="003816B1">
        <w:t xml:space="preserve">what is actually possible to scale up and </w:t>
      </w:r>
      <w:r w:rsidR="00160302">
        <w:t xml:space="preserve">identify </w:t>
      </w:r>
      <w:r w:rsidR="003816B1">
        <w:t xml:space="preserve">the </w:t>
      </w:r>
      <w:r w:rsidR="009E021D">
        <w:t>components</w:t>
      </w:r>
      <w:r w:rsidR="00160302">
        <w:t xml:space="preserve"> </w:t>
      </w:r>
      <w:r w:rsidR="003816B1">
        <w:t xml:space="preserve">that are </w:t>
      </w:r>
      <w:r w:rsidR="00160302">
        <w:t xml:space="preserve">essential to a project’s success, </w:t>
      </w:r>
      <w:r w:rsidR="009E021D">
        <w:t>as opposed to</w:t>
      </w:r>
      <w:r w:rsidR="00160302">
        <w:t xml:space="preserve"> merely preferable.</w:t>
      </w:r>
      <w:r w:rsidR="009E7EA9">
        <w:t xml:space="preserve"> </w:t>
      </w:r>
    </w:p>
    <w:p w:rsidR="00903F01" w:rsidRDefault="00903F01" w:rsidP="007B725F">
      <w:pPr>
        <w:pStyle w:val="ListParagraph"/>
        <w:numPr>
          <w:ilvl w:val="0"/>
          <w:numId w:val="7"/>
        </w:numPr>
        <w:spacing w:after="0"/>
      </w:pPr>
      <w:r>
        <w:t xml:space="preserve">We </w:t>
      </w:r>
      <w:r w:rsidR="00354ED0">
        <w:t>will also</w:t>
      </w:r>
      <w:r w:rsidR="004245C7">
        <w:t xml:space="preserve"> explore</w:t>
      </w:r>
      <w:r w:rsidR="00FD407A">
        <w:t xml:space="preserve"> the extent to which government </w:t>
      </w:r>
      <w:r>
        <w:t xml:space="preserve">funded legal aid schemes, such as in Ukraine, can address the needs of our populations </w:t>
      </w:r>
      <w:r w:rsidR="00FD407A">
        <w:t>by</w:t>
      </w:r>
      <w:r>
        <w:t xml:space="preserve"> </w:t>
      </w:r>
      <w:r w:rsidR="00FD407A">
        <w:t>investing in standard-setting and training and carefully monitoring these programs.</w:t>
      </w:r>
    </w:p>
    <w:p w:rsidR="00160302" w:rsidRDefault="00580B83" w:rsidP="007B725F">
      <w:pPr>
        <w:pStyle w:val="ListParagraph"/>
        <w:numPr>
          <w:ilvl w:val="0"/>
          <w:numId w:val="7"/>
        </w:numPr>
        <w:spacing w:after="0"/>
      </w:pPr>
      <w:r>
        <w:t xml:space="preserve">Over the next two years, PHP will </w:t>
      </w:r>
      <w:r w:rsidR="005A13E6">
        <w:t xml:space="preserve">increase efforts </w:t>
      </w:r>
      <w:r>
        <w:t>to better understand the motivations of different funders and develop a strategy for interesting them in supporting participatory access to justice projects.</w:t>
      </w:r>
    </w:p>
    <w:p w:rsidR="00867957" w:rsidRDefault="00867957" w:rsidP="007B725F">
      <w:pPr>
        <w:pStyle w:val="ListParagraph"/>
        <w:numPr>
          <w:ilvl w:val="0"/>
          <w:numId w:val="7"/>
        </w:numPr>
        <w:spacing w:after="0"/>
      </w:pPr>
      <w:r>
        <w:t>PHP will put more effort in obtaining Ministry of Health funding to support access to justice projects in the context of HIV and palliative care and explore particular openings in Kenya and Uganda.</w:t>
      </w:r>
    </w:p>
    <w:p w:rsidR="00A335A4" w:rsidRPr="00760274" w:rsidRDefault="00A335A4" w:rsidP="003816B1">
      <w:pPr>
        <w:spacing w:after="0"/>
      </w:pPr>
    </w:p>
    <w:sectPr w:rsidR="00A335A4" w:rsidRPr="007602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133D8"/>
    <w:multiLevelType w:val="hybridMultilevel"/>
    <w:tmpl w:val="5F8864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822B45"/>
    <w:multiLevelType w:val="hybridMultilevel"/>
    <w:tmpl w:val="61BA9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9C6A7D"/>
    <w:multiLevelType w:val="hybridMultilevel"/>
    <w:tmpl w:val="345CF7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D45480"/>
    <w:multiLevelType w:val="hybridMultilevel"/>
    <w:tmpl w:val="FFA60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7D29B8"/>
    <w:multiLevelType w:val="hybridMultilevel"/>
    <w:tmpl w:val="97DEC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FF7E79"/>
    <w:multiLevelType w:val="hybridMultilevel"/>
    <w:tmpl w:val="71682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114F0D"/>
    <w:multiLevelType w:val="hybridMultilevel"/>
    <w:tmpl w:val="70B4240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595"/>
    <w:rsid w:val="0001179C"/>
    <w:rsid w:val="000173EC"/>
    <w:rsid w:val="00017FE5"/>
    <w:rsid w:val="000473B6"/>
    <w:rsid w:val="00082C5C"/>
    <w:rsid w:val="000B48C4"/>
    <w:rsid w:val="000D2982"/>
    <w:rsid w:val="000D506D"/>
    <w:rsid w:val="00116926"/>
    <w:rsid w:val="00122017"/>
    <w:rsid w:val="0012568A"/>
    <w:rsid w:val="001543B2"/>
    <w:rsid w:val="00160302"/>
    <w:rsid w:val="0016387A"/>
    <w:rsid w:val="001669AF"/>
    <w:rsid w:val="00170C53"/>
    <w:rsid w:val="00174716"/>
    <w:rsid w:val="00195AAE"/>
    <w:rsid w:val="00196BAA"/>
    <w:rsid w:val="001D3E0B"/>
    <w:rsid w:val="001D7E73"/>
    <w:rsid w:val="001E09FA"/>
    <w:rsid w:val="001F1213"/>
    <w:rsid w:val="001F7285"/>
    <w:rsid w:val="002000C7"/>
    <w:rsid w:val="00205D90"/>
    <w:rsid w:val="00224481"/>
    <w:rsid w:val="0022564A"/>
    <w:rsid w:val="00232078"/>
    <w:rsid w:val="00236D5C"/>
    <w:rsid w:val="00244618"/>
    <w:rsid w:val="0024632B"/>
    <w:rsid w:val="0027132B"/>
    <w:rsid w:val="00296488"/>
    <w:rsid w:val="002A4831"/>
    <w:rsid w:val="002A72C6"/>
    <w:rsid w:val="002A76A1"/>
    <w:rsid w:val="002C0399"/>
    <w:rsid w:val="002D5B87"/>
    <w:rsid w:val="0031298C"/>
    <w:rsid w:val="00321671"/>
    <w:rsid w:val="00324F25"/>
    <w:rsid w:val="00342C9E"/>
    <w:rsid w:val="00354AFA"/>
    <w:rsid w:val="00354ED0"/>
    <w:rsid w:val="003816B1"/>
    <w:rsid w:val="00386935"/>
    <w:rsid w:val="003874A8"/>
    <w:rsid w:val="003954A3"/>
    <w:rsid w:val="003C1DEA"/>
    <w:rsid w:val="003D3CC7"/>
    <w:rsid w:val="003E0F48"/>
    <w:rsid w:val="004245C7"/>
    <w:rsid w:val="00435C48"/>
    <w:rsid w:val="00461D65"/>
    <w:rsid w:val="00474CE3"/>
    <w:rsid w:val="004817D6"/>
    <w:rsid w:val="00483211"/>
    <w:rsid w:val="00497211"/>
    <w:rsid w:val="004A311C"/>
    <w:rsid w:val="004B3DB6"/>
    <w:rsid w:val="004C1A32"/>
    <w:rsid w:val="004E1B3A"/>
    <w:rsid w:val="004E3B6F"/>
    <w:rsid w:val="005001C1"/>
    <w:rsid w:val="00511595"/>
    <w:rsid w:val="0052499E"/>
    <w:rsid w:val="00531A19"/>
    <w:rsid w:val="005429F9"/>
    <w:rsid w:val="00546714"/>
    <w:rsid w:val="00556C79"/>
    <w:rsid w:val="005576BC"/>
    <w:rsid w:val="005625D4"/>
    <w:rsid w:val="00570FE5"/>
    <w:rsid w:val="0057715A"/>
    <w:rsid w:val="00580B83"/>
    <w:rsid w:val="005902A7"/>
    <w:rsid w:val="005945EC"/>
    <w:rsid w:val="005A13E6"/>
    <w:rsid w:val="005E1557"/>
    <w:rsid w:val="005E5FD8"/>
    <w:rsid w:val="005F67E4"/>
    <w:rsid w:val="00607D14"/>
    <w:rsid w:val="00624F11"/>
    <w:rsid w:val="00631FE0"/>
    <w:rsid w:val="00633EAE"/>
    <w:rsid w:val="006402CD"/>
    <w:rsid w:val="006577CD"/>
    <w:rsid w:val="00675748"/>
    <w:rsid w:val="0069762F"/>
    <w:rsid w:val="006B226B"/>
    <w:rsid w:val="006B784C"/>
    <w:rsid w:val="006C76B3"/>
    <w:rsid w:val="006E11CF"/>
    <w:rsid w:val="006E3117"/>
    <w:rsid w:val="006F19BA"/>
    <w:rsid w:val="007044B6"/>
    <w:rsid w:val="00711907"/>
    <w:rsid w:val="00712CD7"/>
    <w:rsid w:val="0074037D"/>
    <w:rsid w:val="00750EE7"/>
    <w:rsid w:val="00760274"/>
    <w:rsid w:val="007740B6"/>
    <w:rsid w:val="007958B3"/>
    <w:rsid w:val="007B725F"/>
    <w:rsid w:val="007B7333"/>
    <w:rsid w:val="007C5778"/>
    <w:rsid w:val="007E2CC0"/>
    <w:rsid w:val="007E48F7"/>
    <w:rsid w:val="008116BE"/>
    <w:rsid w:val="008347F8"/>
    <w:rsid w:val="00841F8F"/>
    <w:rsid w:val="00843794"/>
    <w:rsid w:val="00864F4D"/>
    <w:rsid w:val="00867957"/>
    <w:rsid w:val="00873955"/>
    <w:rsid w:val="00903F01"/>
    <w:rsid w:val="00911F70"/>
    <w:rsid w:val="00912DC9"/>
    <w:rsid w:val="009149B8"/>
    <w:rsid w:val="009154AB"/>
    <w:rsid w:val="009673B9"/>
    <w:rsid w:val="00972387"/>
    <w:rsid w:val="00985A62"/>
    <w:rsid w:val="009A1CC8"/>
    <w:rsid w:val="009A68B2"/>
    <w:rsid w:val="009C1CAA"/>
    <w:rsid w:val="009C3136"/>
    <w:rsid w:val="009D3B0C"/>
    <w:rsid w:val="009E021D"/>
    <w:rsid w:val="009E0F11"/>
    <w:rsid w:val="009E7EA9"/>
    <w:rsid w:val="00A335A4"/>
    <w:rsid w:val="00A46F3F"/>
    <w:rsid w:val="00A67338"/>
    <w:rsid w:val="00A751EC"/>
    <w:rsid w:val="00AA0332"/>
    <w:rsid w:val="00AA30D7"/>
    <w:rsid w:val="00AD45F0"/>
    <w:rsid w:val="00AE2E03"/>
    <w:rsid w:val="00B01493"/>
    <w:rsid w:val="00B25F28"/>
    <w:rsid w:val="00B30418"/>
    <w:rsid w:val="00B326AE"/>
    <w:rsid w:val="00B54504"/>
    <w:rsid w:val="00B65CEE"/>
    <w:rsid w:val="00B673A9"/>
    <w:rsid w:val="00B75182"/>
    <w:rsid w:val="00B83027"/>
    <w:rsid w:val="00B9605E"/>
    <w:rsid w:val="00BA5234"/>
    <w:rsid w:val="00BB0591"/>
    <w:rsid w:val="00BB24C9"/>
    <w:rsid w:val="00BC0635"/>
    <w:rsid w:val="00BC2B26"/>
    <w:rsid w:val="00BE3381"/>
    <w:rsid w:val="00C01C1E"/>
    <w:rsid w:val="00C11EFB"/>
    <w:rsid w:val="00C2378C"/>
    <w:rsid w:val="00C27BA8"/>
    <w:rsid w:val="00C6045A"/>
    <w:rsid w:val="00C6698F"/>
    <w:rsid w:val="00C834B4"/>
    <w:rsid w:val="00C92BCC"/>
    <w:rsid w:val="00CA2A4B"/>
    <w:rsid w:val="00CA77D3"/>
    <w:rsid w:val="00CC0F08"/>
    <w:rsid w:val="00CC488A"/>
    <w:rsid w:val="00CC616C"/>
    <w:rsid w:val="00CD6741"/>
    <w:rsid w:val="00D33316"/>
    <w:rsid w:val="00D376CB"/>
    <w:rsid w:val="00D64D19"/>
    <w:rsid w:val="00D87872"/>
    <w:rsid w:val="00DC27EB"/>
    <w:rsid w:val="00DE38E2"/>
    <w:rsid w:val="00E01713"/>
    <w:rsid w:val="00E04ACD"/>
    <w:rsid w:val="00E1044D"/>
    <w:rsid w:val="00E236B6"/>
    <w:rsid w:val="00E362F6"/>
    <w:rsid w:val="00E67D59"/>
    <w:rsid w:val="00E87005"/>
    <w:rsid w:val="00E93900"/>
    <w:rsid w:val="00E97D43"/>
    <w:rsid w:val="00ED3D3A"/>
    <w:rsid w:val="00EE0D11"/>
    <w:rsid w:val="00EE2C6B"/>
    <w:rsid w:val="00EF2C4A"/>
    <w:rsid w:val="00F25260"/>
    <w:rsid w:val="00F27C69"/>
    <w:rsid w:val="00F3441B"/>
    <w:rsid w:val="00F4446C"/>
    <w:rsid w:val="00F73F77"/>
    <w:rsid w:val="00FA09D1"/>
    <w:rsid w:val="00FB7B03"/>
    <w:rsid w:val="00FD2D6B"/>
    <w:rsid w:val="00FD407A"/>
    <w:rsid w:val="00FD5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DEA"/>
    <w:pPr>
      <w:ind w:left="720"/>
      <w:contextualSpacing/>
    </w:pPr>
  </w:style>
  <w:style w:type="paragraph" w:customStyle="1" w:styleId="Default">
    <w:name w:val="Default"/>
    <w:rsid w:val="007E48F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D376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76CB"/>
    <w:rPr>
      <w:rFonts w:ascii="Tahoma" w:hAnsi="Tahoma" w:cs="Tahoma"/>
      <w:sz w:val="16"/>
      <w:szCs w:val="16"/>
    </w:rPr>
  </w:style>
  <w:style w:type="character" w:styleId="CommentReference">
    <w:name w:val="annotation reference"/>
    <w:basedOn w:val="DefaultParagraphFont"/>
    <w:uiPriority w:val="99"/>
    <w:semiHidden/>
    <w:unhideWhenUsed/>
    <w:rsid w:val="009C3136"/>
    <w:rPr>
      <w:sz w:val="16"/>
      <w:szCs w:val="16"/>
    </w:rPr>
  </w:style>
  <w:style w:type="paragraph" w:styleId="CommentText">
    <w:name w:val="annotation text"/>
    <w:basedOn w:val="Normal"/>
    <w:link w:val="CommentTextChar"/>
    <w:uiPriority w:val="99"/>
    <w:semiHidden/>
    <w:unhideWhenUsed/>
    <w:rsid w:val="009C3136"/>
    <w:pPr>
      <w:spacing w:line="240" w:lineRule="auto"/>
    </w:pPr>
    <w:rPr>
      <w:sz w:val="20"/>
      <w:szCs w:val="20"/>
    </w:rPr>
  </w:style>
  <w:style w:type="character" w:customStyle="1" w:styleId="CommentTextChar">
    <w:name w:val="Comment Text Char"/>
    <w:basedOn w:val="DefaultParagraphFont"/>
    <w:link w:val="CommentText"/>
    <w:uiPriority w:val="99"/>
    <w:semiHidden/>
    <w:rsid w:val="009C3136"/>
    <w:rPr>
      <w:sz w:val="20"/>
      <w:szCs w:val="20"/>
    </w:rPr>
  </w:style>
  <w:style w:type="paragraph" w:styleId="CommentSubject">
    <w:name w:val="annotation subject"/>
    <w:basedOn w:val="CommentText"/>
    <w:next w:val="CommentText"/>
    <w:link w:val="CommentSubjectChar"/>
    <w:uiPriority w:val="99"/>
    <w:semiHidden/>
    <w:unhideWhenUsed/>
    <w:rsid w:val="009C3136"/>
    <w:rPr>
      <w:b/>
      <w:bCs/>
    </w:rPr>
  </w:style>
  <w:style w:type="character" w:customStyle="1" w:styleId="CommentSubjectChar">
    <w:name w:val="Comment Subject Char"/>
    <w:basedOn w:val="CommentTextChar"/>
    <w:link w:val="CommentSubject"/>
    <w:uiPriority w:val="99"/>
    <w:semiHidden/>
    <w:rsid w:val="009C313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DEA"/>
    <w:pPr>
      <w:ind w:left="720"/>
      <w:contextualSpacing/>
    </w:pPr>
  </w:style>
  <w:style w:type="paragraph" w:customStyle="1" w:styleId="Default">
    <w:name w:val="Default"/>
    <w:rsid w:val="007E48F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D376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76CB"/>
    <w:rPr>
      <w:rFonts w:ascii="Tahoma" w:hAnsi="Tahoma" w:cs="Tahoma"/>
      <w:sz w:val="16"/>
      <w:szCs w:val="16"/>
    </w:rPr>
  </w:style>
  <w:style w:type="character" w:styleId="CommentReference">
    <w:name w:val="annotation reference"/>
    <w:basedOn w:val="DefaultParagraphFont"/>
    <w:uiPriority w:val="99"/>
    <w:semiHidden/>
    <w:unhideWhenUsed/>
    <w:rsid w:val="009C3136"/>
    <w:rPr>
      <w:sz w:val="16"/>
      <w:szCs w:val="16"/>
    </w:rPr>
  </w:style>
  <w:style w:type="paragraph" w:styleId="CommentText">
    <w:name w:val="annotation text"/>
    <w:basedOn w:val="Normal"/>
    <w:link w:val="CommentTextChar"/>
    <w:uiPriority w:val="99"/>
    <w:semiHidden/>
    <w:unhideWhenUsed/>
    <w:rsid w:val="009C3136"/>
    <w:pPr>
      <w:spacing w:line="240" w:lineRule="auto"/>
    </w:pPr>
    <w:rPr>
      <w:sz w:val="20"/>
      <w:szCs w:val="20"/>
    </w:rPr>
  </w:style>
  <w:style w:type="character" w:customStyle="1" w:styleId="CommentTextChar">
    <w:name w:val="Comment Text Char"/>
    <w:basedOn w:val="DefaultParagraphFont"/>
    <w:link w:val="CommentText"/>
    <w:uiPriority w:val="99"/>
    <w:semiHidden/>
    <w:rsid w:val="009C3136"/>
    <w:rPr>
      <w:sz w:val="20"/>
      <w:szCs w:val="20"/>
    </w:rPr>
  </w:style>
  <w:style w:type="paragraph" w:styleId="CommentSubject">
    <w:name w:val="annotation subject"/>
    <w:basedOn w:val="CommentText"/>
    <w:next w:val="CommentText"/>
    <w:link w:val="CommentSubjectChar"/>
    <w:uiPriority w:val="99"/>
    <w:semiHidden/>
    <w:unhideWhenUsed/>
    <w:rsid w:val="009C3136"/>
    <w:rPr>
      <w:b/>
      <w:bCs/>
    </w:rPr>
  </w:style>
  <w:style w:type="character" w:customStyle="1" w:styleId="CommentSubjectChar">
    <w:name w:val="Comment Subject Char"/>
    <w:basedOn w:val="CommentTextChar"/>
    <w:link w:val="CommentSubject"/>
    <w:uiPriority w:val="99"/>
    <w:semiHidden/>
    <w:rsid w:val="009C31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1375</Words>
  <Characters>7839</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Open Society Foundations</Company>
  <LinksUpToDate>false</LinksUpToDate>
  <CharactersWithSpaces>9196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Volha Baraulia</dc:creator>
  <cp:lastModifiedBy>Daphne Panayotatos</cp:lastModifiedBy>
  <cp:revision>2</cp:revision>
  <dcterms:created xsi:type="dcterms:W3CDTF">2014-07-14T06:11:00Z</dcterms:created>
  <dcterms:modified xsi:type="dcterms:W3CDTF">2014-07-14T06:11:00Z</dcterms:modified>
</cp:coreProperties>
</file>