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F68" w:rsidRPr="00F61F68" w:rsidRDefault="00F61F68" w:rsidP="00F61F68">
      <w:pPr>
        <w:spacing w:after="0"/>
        <w:jc w:val="both"/>
        <w:rPr>
          <w:rFonts w:ascii="Calibri" w:eastAsia="Calibri" w:hAnsi="Calibri" w:cs="Times New Roman"/>
          <w:b/>
          <w:i/>
          <w:sz w:val="24"/>
          <w:szCs w:val="24"/>
        </w:rPr>
      </w:pPr>
      <w:bookmarkStart w:id="0" w:name="_GoBack"/>
      <w:bookmarkEnd w:id="0"/>
      <w:r w:rsidRPr="00F61F68">
        <w:rPr>
          <w:rFonts w:ascii="Calibri" w:eastAsia="Calibri" w:hAnsi="Calibri" w:cs="Times New Roman"/>
          <w:b/>
          <w:i/>
          <w:sz w:val="24"/>
          <w:szCs w:val="24"/>
        </w:rPr>
        <w:t>Strengthening the implementation of domestic violence laws and policies</w:t>
      </w:r>
    </w:p>
    <w:p w:rsidR="00F61F68" w:rsidRPr="00F61F68" w:rsidRDefault="00F61F68" w:rsidP="00F61F68">
      <w:pPr>
        <w:spacing w:after="0"/>
        <w:rPr>
          <w:rFonts w:ascii="Calibri" w:eastAsia="Calibri" w:hAnsi="Calibri" w:cs="Times New Roman"/>
          <w:sz w:val="20"/>
          <w:szCs w:val="20"/>
        </w:rPr>
      </w:pPr>
      <w:r w:rsidRPr="00F61F68">
        <w:rPr>
          <w:rFonts w:ascii="Calibri" w:eastAsia="Calibri" w:hAnsi="Calibri" w:cs="Times New Roman"/>
          <w:sz w:val="20"/>
          <w:szCs w:val="20"/>
        </w:rPr>
        <w:t>Human Rights Initiative Portfolio Review</w:t>
      </w:r>
    </w:p>
    <w:p w:rsidR="00F61F68" w:rsidRPr="00F61F68" w:rsidRDefault="00F61F68" w:rsidP="00F61F68">
      <w:pPr>
        <w:spacing w:after="0" w:line="480" w:lineRule="auto"/>
        <w:jc w:val="both"/>
        <w:rPr>
          <w:rFonts w:ascii="Calibri" w:eastAsia="Calibri" w:hAnsi="Calibri" w:cs="Times New Roman"/>
          <w:b/>
          <w:i/>
        </w:rPr>
      </w:pPr>
      <w:r w:rsidRPr="00F61F68">
        <w:rPr>
          <w:rFonts w:ascii="Calibri" w:eastAsia="Calibri" w:hAnsi="Calibri" w:cs="Times New Roman"/>
          <w:sz w:val="20"/>
          <w:szCs w:val="20"/>
        </w:rPr>
        <w:t>February 13, 2015</w:t>
      </w:r>
    </w:p>
    <w:p w:rsidR="00046A7E" w:rsidRDefault="00121764" w:rsidP="004C648F">
      <w:pPr>
        <w:jc w:val="both"/>
      </w:pPr>
      <w:r>
        <w:t xml:space="preserve">This portfolio review will assess the Human Rights Initiative’s (HRI) efforts to support the women’s rights </w:t>
      </w:r>
      <w:r w:rsidR="004F6F85">
        <w:t>movement</w:t>
      </w:r>
      <w:r>
        <w:t xml:space="preserve"> in Eastern Europe and Eurasia to strengthen implementation of domestic violence laws.</w:t>
      </w:r>
      <w:r w:rsidR="00EB363B">
        <w:t xml:space="preserve"> </w:t>
      </w:r>
      <w:r>
        <w:t>This portfolio was</w:t>
      </w:r>
      <w:r w:rsidR="00EB363B">
        <w:t xml:space="preserve"> launched in 2007</w:t>
      </w:r>
      <w:r w:rsidR="00B433D0">
        <w:t xml:space="preserve"> and </w:t>
      </w:r>
      <w:r>
        <w:t>w</w:t>
      </w:r>
      <w:r w:rsidR="00B433D0">
        <w:t>as in place with adjustments until 2014</w:t>
      </w:r>
      <w:r>
        <w:t xml:space="preserve"> when we began to tie off support for this work</w:t>
      </w:r>
      <w:r w:rsidR="00136D82">
        <w:t xml:space="preserve"> and transition towards a global portfolio with a focus on women who face multiple forms of discrimination</w:t>
      </w:r>
      <w:r w:rsidR="00B433D0">
        <w:t xml:space="preserve">. This </w:t>
      </w:r>
      <w:r>
        <w:t xml:space="preserve">portfolio </w:t>
      </w:r>
      <w:r w:rsidR="00136D82">
        <w:t xml:space="preserve">review </w:t>
      </w:r>
      <w:r>
        <w:t>offers</w:t>
      </w:r>
      <w:r w:rsidR="00B433D0">
        <w:t xml:space="preserve"> a unique opportunity to analyze </w:t>
      </w:r>
      <w:r w:rsidR="00177350">
        <w:t>HRI’s significant</w:t>
      </w:r>
      <w:r w:rsidR="00727A78">
        <w:t xml:space="preserve"> investment in</w:t>
      </w:r>
      <w:r>
        <w:t xml:space="preserve"> implementation of domestic violence laws</w:t>
      </w:r>
      <w:r w:rsidR="00B433D0">
        <w:t xml:space="preserve"> </w:t>
      </w:r>
      <w:r>
        <w:t xml:space="preserve">in </w:t>
      </w:r>
      <w:r w:rsidR="00B433D0">
        <w:t xml:space="preserve">Eastern Europe and </w:t>
      </w:r>
      <w:r w:rsidR="001F22D8">
        <w:t>Eurasia</w:t>
      </w:r>
      <w:r>
        <w:t>.</w:t>
      </w:r>
      <w:r w:rsidR="00514640">
        <w:t xml:space="preserve"> Connected to this portfolio over the past eight years we </w:t>
      </w:r>
      <w:r w:rsidR="00103077">
        <w:t>made 118 grants in 19 countries spending $8</w:t>
      </w:r>
      <w:r w:rsidR="00F61F68">
        <w:t>,057,000</w:t>
      </w:r>
      <w:r w:rsidR="00514640">
        <w:t xml:space="preserve">. </w:t>
      </w:r>
      <w:r w:rsidR="00103077">
        <w:t xml:space="preserve"> </w:t>
      </w:r>
      <w:r w:rsidR="00A976A3">
        <w:t>While for th</w:t>
      </w:r>
      <w:r w:rsidR="00514640">
        <w:t>is</w:t>
      </w:r>
      <w:r w:rsidR="00A976A3">
        <w:t xml:space="preserve"> portfolio review </w:t>
      </w:r>
      <w:r w:rsidR="00036F34">
        <w:t xml:space="preserve">we </w:t>
      </w:r>
      <w:r w:rsidR="00514640">
        <w:t>provided a list of the</w:t>
      </w:r>
      <w:r w:rsidR="00A976A3">
        <w:t xml:space="preserve"> 27 grants made i</w:t>
      </w:r>
      <w:r w:rsidR="004C433B">
        <w:t xml:space="preserve">n 2013-2014 </w:t>
      </w:r>
      <w:r w:rsidR="00103077">
        <w:t>in 13 countries</w:t>
      </w:r>
      <w:r w:rsidR="00A976A3">
        <w:t xml:space="preserve">, </w:t>
      </w:r>
      <w:r w:rsidR="007C6423">
        <w:t>many of the reflections below will draw on experiences from the entire period</w:t>
      </w:r>
      <w:r w:rsidR="004C433B">
        <w:t>.</w:t>
      </w:r>
    </w:p>
    <w:p w:rsidR="00506AD7" w:rsidRDefault="00036F34" w:rsidP="00036F34">
      <w:pPr>
        <w:jc w:val="both"/>
        <w:rPr>
          <w:b/>
        </w:rPr>
      </w:pPr>
      <w:r w:rsidRPr="00F61F68">
        <w:rPr>
          <w:b/>
        </w:rPr>
        <w:t>Context</w:t>
      </w:r>
    </w:p>
    <w:p w:rsidR="00C30104" w:rsidRPr="00996DB5" w:rsidRDefault="00C30104" w:rsidP="00180A9E">
      <w:pPr>
        <w:jc w:val="both"/>
        <w:rPr>
          <w:highlight w:val="yellow"/>
        </w:rPr>
      </w:pPr>
      <w:r w:rsidRPr="00C30104">
        <w:t>While over the past two decades there has been significant progress in most countries of Europe and Eurasia in establishing a legal framework intended to address domestic violence, implementation at the national level has been very slow. This is due both to the fact that some of the initial laws were weak and needed to be strengthened and more importantly to a lack of political will by national governments to implement the laws. While governments adopted laws under pressure from international and regional institutions and due to local lobbying by women’s rights groups, they had largely failed to commit the energy and resources needed to effectively implement these laws.</w:t>
      </w:r>
      <w:r w:rsidR="00180A9E">
        <w:t xml:space="preserve"> This lack of political will is in turn fueled by pervasive public attitudes on the role of women in society that result in the rights concerns of women being taken less seriously even in fundamental rights areas like violence. Examples of the failure of governments to implement domestic violence protections has included in some cases no funding allocated for victim support services, no systemic training for police and other professionals, no changes in procedures followed by authorities, only very limited sensitizing of judges,  and very little investment in prevention initiatives.</w:t>
      </w:r>
      <w:r w:rsidR="00036F34">
        <w:t xml:space="preserve"> </w:t>
      </w:r>
      <w:r w:rsidR="00052BFC" w:rsidRPr="00F61F68">
        <w:t xml:space="preserve">Most states </w:t>
      </w:r>
      <w:r w:rsidR="003A0E90" w:rsidRPr="00F61F68">
        <w:t xml:space="preserve">also </w:t>
      </w:r>
      <w:r w:rsidR="00052BFC" w:rsidRPr="00F61F68">
        <w:t xml:space="preserve">did not undertake </w:t>
      </w:r>
      <w:r w:rsidR="00036F34" w:rsidRPr="00F61F68">
        <w:t xml:space="preserve">systemic data collection on domestic violence, and did not </w:t>
      </w:r>
      <w:r w:rsidR="003A0E90" w:rsidRPr="00F61F68">
        <w:t>track</w:t>
      </w:r>
      <w:r w:rsidR="00036F34" w:rsidRPr="00F61F68">
        <w:t xml:space="preserve"> data to enable assessment of the implementation of policy measures.</w:t>
      </w:r>
    </w:p>
    <w:p w:rsidR="00036F34" w:rsidRPr="00C30104" w:rsidRDefault="00604E1B" w:rsidP="00180A9E">
      <w:pPr>
        <w:jc w:val="both"/>
        <w:rPr>
          <w:b/>
        </w:rPr>
      </w:pPr>
      <w:r w:rsidRPr="00F61F68">
        <w:t>Although women’s movement</w:t>
      </w:r>
      <w:r w:rsidR="008C3878" w:rsidRPr="00F61F68">
        <w:t>s were generally weak</w:t>
      </w:r>
      <w:r w:rsidRPr="00F61F68">
        <w:t>, small grassroots initiatives emerged throughout the region around the subject of domestic violence</w:t>
      </w:r>
      <w:r w:rsidR="004F11E1" w:rsidRPr="00F61F68">
        <w:t>, which was considered to be a top priority among activists</w:t>
      </w:r>
      <w:r w:rsidRPr="00F61F68">
        <w:t>.</w:t>
      </w:r>
      <w:r>
        <w:t xml:space="preserve"> </w:t>
      </w:r>
      <w:r w:rsidR="00F71A17">
        <w:t xml:space="preserve">These groups were working directly with victims of violence and had a strong understanding of what was needed to support victims as well as reduce violence. </w:t>
      </w:r>
      <w:r w:rsidR="00036F34">
        <w:t xml:space="preserve">These </w:t>
      </w:r>
      <w:r>
        <w:t xml:space="preserve">groups </w:t>
      </w:r>
      <w:r w:rsidR="00036F34">
        <w:t xml:space="preserve">played a key role in putting domestic violence on the agenda with their governments in advocating for the first laws </w:t>
      </w:r>
      <w:r>
        <w:t xml:space="preserve">and policies. </w:t>
      </w:r>
      <w:r w:rsidR="00036F34">
        <w:t>Typically these women’s right groups grew out of grassroots, volunteer efforts focusing on social and psychological support for victims and most did not even have a lawyer on staff. The few groups that did offer legal aid did not engage in strategic litigation, as their focus was on serving individual victims rather than on systemic reform. In the mid-2000s, there were practically no court cases on domestic violence neither in local courts, nor at the European Court for Human Rights (ECtHR), although laws on domestic violence were in place in 17 countries of Eastern Europe and Eurasia already.</w:t>
      </w:r>
      <w:r w:rsidR="00E930EC">
        <w:t xml:space="preserve"> </w:t>
      </w:r>
      <w:r w:rsidR="00E930EC">
        <w:lastRenderedPageBreak/>
        <w:t xml:space="preserve">Nevertheless, through their work with clients, women’s rights groups could clearly </w:t>
      </w:r>
      <w:r w:rsidR="00E445FA">
        <w:t xml:space="preserve">see </w:t>
      </w:r>
      <w:r w:rsidR="00E930EC">
        <w:t>the broad lack of progress in the protection of victims and many started to take on advocacy to push for implementation and to try to have more systemic impact on the issue.</w:t>
      </w:r>
    </w:p>
    <w:p w:rsidR="00036F34" w:rsidRDefault="00036F34" w:rsidP="00681B44">
      <w:pPr>
        <w:jc w:val="both"/>
      </w:pPr>
      <w:r>
        <w:rPr>
          <w:b/>
        </w:rPr>
        <w:t>Our ambitions</w:t>
      </w:r>
    </w:p>
    <w:p w:rsidR="00761FFA" w:rsidRDefault="00B27384" w:rsidP="00681B44">
      <w:pPr>
        <w:jc w:val="both"/>
      </w:pPr>
      <w:r>
        <w:t>In this context, w</w:t>
      </w:r>
      <w:r w:rsidR="004F5FDD">
        <w:t>e believed</w:t>
      </w:r>
      <w:r w:rsidR="0001665F">
        <w:t xml:space="preserve"> that</w:t>
      </w:r>
      <w:r>
        <w:t xml:space="preserve"> the engagement </w:t>
      </w:r>
      <w:r w:rsidR="004F6F85">
        <w:t>of local</w:t>
      </w:r>
      <w:r>
        <w:t xml:space="preserve"> </w:t>
      </w:r>
      <w:r w:rsidR="006F5301">
        <w:t xml:space="preserve">women’s rights groups </w:t>
      </w:r>
      <w:r w:rsidR="00AA1576">
        <w:t xml:space="preserve">would be critical </w:t>
      </w:r>
      <w:r w:rsidR="009E45D9">
        <w:t>to improving implementation</w:t>
      </w:r>
      <w:r>
        <w:t xml:space="preserve">. </w:t>
      </w:r>
      <w:r w:rsidR="00E05CF1">
        <w:t xml:space="preserve">Our theory of change was that through the support of key national women’s rights groups we could strengthen the implementation of domestic violence laws and policies. </w:t>
      </w:r>
      <w:r w:rsidR="00180A9E">
        <w:t>We believed t</w:t>
      </w:r>
      <w:r>
        <w:t>hat these groups could be supported to</w:t>
      </w:r>
      <w:r w:rsidR="001A3BBF">
        <w:t xml:space="preserve"> test new laws in</w:t>
      </w:r>
      <w:r>
        <w:t xml:space="preserve"> the</w:t>
      </w:r>
      <w:r w:rsidR="001A3BBF">
        <w:t xml:space="preserve"> courts and </w:t>
      </w:r>
      <w:r>
        <w:t>to</w:t>
      </w:r>
      <w:r w:rsidR="001A3BBF">
        <w:t xml:space="preserve"> undertak</w:t>
      </w:r>
      <w:r>
        <w:t>e</w:t>
      </w:r>
      <w:r w:rsidR="001A3BBF">
        <w:t xml:space="preserve"> rigorous monitoring and advocacy work</w:t>
      </w:r>
      <w:r>
        <w:t xml:space="preserve"> to push for implementation</w:t>
      </w:r>
      <w:r w:rsidR="00BF5DFF">
        <w:t>.</w:t>
      </w:r>
      <w:r w:rsidR="00761FFA">
        <w:t xml:space="preserve"> </w:t>
      </w:r>
    </w:p>
    <w:p w:rsidR="0054515A" w:rsidRDefault="00AA1576" w:rsidP="00681B44">
      <w:pPr>
        <w:jc w:val="both"/>
      </w:pPr>
      <w:r>
        <w:t xml:space="preserve">We </w:t>
      </w:r>
      <w:r w:rsidR="004F6F85">
        <w:t>believed that</w:t>
      </w:r>
      <w:r>
        <w:t xml:space="preserve"> </w:t>
      </w:r>
      <w:r w:rsidR="00E05CF1">
        <w:t>HRI</w:t>
      </w:r>
      <w:r>
        <w:t xml:space="preserve"> funding would both</w:t>
      </w:r>
      <w:r w:rsidR="00480198">
        <w:t xml:space="preserve"> enable</w:t>
      </w:r>
      <w:r w:rsidR="002D2647">
        <w:t xml:space="preserve"> grassroots groups to develop into more professional organizations, and that in particular, these groups would have increased capacity to undertake litigation and advocacy aimed at policy change as well as a greater ability to systematically monitor implementation of domestic violence laws.</w:t>
      </w:r>
      <w:r w:rsidR="00996DB5">
        <w:t xml:space="preserve"> </w:t>
      </w:r>
      <w:r w:rsidR="00996DB5" w:rsidRPr="00E445FA">
        <w:t>We believed that the data on gaps in implementation would provide a good basis for advocacy as well as for informing the public.</w:t>
      </w:r>
      <w:r w:rsidR="002D2647">
        <w:t xml:space="preserve"> Our</w:t>
      </w:r>
      <w:r w:rsidR="00A22AF0">
        <w:t xml:space="preserve"> strategy</w:t>
      </w:r>
      <w:r w:rsidR="004F5FDD">
        <w:t xml:space="preserve"> </w:t>
      </w:r>
      <w:r w:rsidR="002D2647">
        <w:t>included</w:t>
      </w:r>
      <w:r w:rsidR="004F5FDD">
        <w:t xml:space="preserve"> support</w:t>
      </w:r>
      <w:r w:rsidR="0060688A">
        <w:t>ing</w:t>
      </w:r>
      <w:r w:rsidR="004F5FDD">
        <w:t xml:space="preserve"> a few internati</w:t>
      </w:r>
      <w:r w:rsidR="0026368B">
        <w:t xml:space="preserve">onal </w:t>
      </w:r>
      <w:r w:rsidR="004F5FDD">
        <w:t>organizations to work in collaboratio</w:t>
      </w:r>
      <w:r w:rsidR="0026368B">
        <w:t xml:space="preserve">n with local groups </w:t>
      </w:r>
      <w:r w:rsidR="002D2647">
        <w:t xml:space="preserve">to build their </w:t>
      </w:r>
      <w:r w:rsidR="004F5FDD">
        <w:t>capacity</w:t>
      </w:r>
      <w:r w:rsidR="002D2647">
        <w:t xml:space="preserve"> to carry out</w:t>
      </w:r>
      <w:r w:rsidR="00125616">
        <w:t xml:space="preserve"> domestic violence</w:t>
      </w:r>
      <w:r w:rsidR="004F5FDD">
        <w:t xml:space="preserve"> litigation and monitoring work</w:t>
      </w:r>
      <w:r w:rsidR="004F6F85">
        <w:t xml:space="preserve"> and to contribute to regional and national standard setting in this field</w:t>
      </w:r>
      <w:r w:rsidR="004F5FDD">
        <w:t>.</w:t>
      </w:r>
      <w:r w:rsidR="009C2257">
        <w:t xml:space="preserve"> </w:t>
      </w:r>
      <w:r w:rsidR="00346C7A">
        <w:t>We envisioned</w:t>
      </w:r>
      <w:r w:rsidR="002D2647">
        <w:t xml:space="preserve"> </w:t>
      </w:r>
      <w:r w:rsidR="0026368B">
        <w:t>support</w:t>
      </w:r>
      <w:r w:rsidR="002D2647">
        <w:t xml:space="preserve">ing </w:t>
      </w:r>
      <w:r w:rsidR="00956089">
        <w:t xml:space="preserve">key women’s rights groups in up to 15 countries where domestic violence laws were </w:t>
      </w:r>
      <w:r w:rsidR="002D2647">
        <w:t xml:space="preserve">recently adopted </w:t>
      </w:r>
      <w:r w:rsidR="00956089">
        <w:t>or were about to be introduced</w:t>
      </w:r>
      <w:r w:rsidR="0026368B">
        <w:t>. W</w:t>
      </w:r>
      <w:r w:rsidR="0097168A">
        <w:t>e were</w:t>
      </w:r>
      <w:r w:rsidR="0026368B">
        <w:t xml:space="preserve"> also</w:t>
      </w:r>
      <w:r w:rsidR="0097168A">
        <w:t xml:space="preserve"> hoping that among th</w:t>
      </w:r>
      <w:r w:rsidR="002D2647">
        <w:t>e groups we supported</w:t>
      </w:r>
      <w:r w:rsidR="00E445FA">
        <w:t>,</w:t>
      </w:r>
      <w:r w:rsidR="002D2647">
        <w:t xml:space="preserve"> </w:t>
      </w:r>
      <w:r w:rsidR="0097168A">
        <w:t>some regi</w:t>
      </w:r>
      <w:r w:rsidR="0026368B">
        <w:t>onal centers for excellence would</w:t>
      </w:r>
      <w:r w:rsidR="0097168A">
        <w:t xml:space="preserve"> emerge</w:t>
      </w:r>
      <w:r w:rsidR="00956089">
        <w:t>.</w:t>
      </w:r>
      <w:r w:rsidR="00387209">
        <w:t xml:space="preserve"> In addition, we expected to contribute to establishing standard-setting strategic litigation at the </w:t>
      </w:r>
      <w:r w:rsidR="00D366EC">
        <w:t>ECtHR</w:t>
      </w:r>
      <w:r w:rsidR="00387209">
        <w:t xml:space="preserve"> and other</w:t>
      </w:r>
      <w:r w:rsidR="002936E2">
        <w:t xml:space="preserve"> key</w:t>
      </w:r>
      <w:r w:rsidR="00387209">
        <w:t xml:space="preserve"> forums and at national-level courts</w:t>
      </w:r>
      <w:r w:rsidR="00C31FE7">
        <w:t>.</w:t>
      </w:r>
      <w:r w:rsidR="00D234D1">
        <w:t xml:space="preserve"> Last but not least, we were hoping that by supporting domestic violence groups that tended to be the engines of the small women’s movemen</w:t>
      </w:r>
      <w:r w:rsidR="00346C7A">
        <w:t>ts</w:t>
      </w:r>
      <w:r w:rsidR="00D234D1">
        <w:t xml:space="preserve">, we </w:t>
      </w:r>
      <w:r w:rsidR="002D2647">
        <w:t xml:space="preserve">could </w:t>
      </w:r>
      <w:r w:rsidR="00D234D1">
        <w:t xml:space="preserve">contribute </w:t>
      </w:r>
      <w:r w:rsidR="006E5929">
        <w:t>to</w:t>
      </w:r>
      <w:r w:rsidR="00D234D1">
        <w:t xml:space="preserve"> the gradual </w:t>
      </w:r>
      <w:r w:rsidR="003A0E90">
        <w:t xml:space="preserve">strengthening </w:t>
      </w:r>
      <w:r w:rsidR="00D234D1">
        <w:t>of the movements themselves.</w:t>
      </w:r>
    </w:p>
    <w:p w:rsidR="0045251D" w:rsidRPr="00506AD7" w:rsidRDefault="008B352D" w:rsidP="00D234D1">
      <w:pPr>
        <w:jc w:val="both"/>
        <w:rPr>
          <w:b/>
        </w:rPr>
      </w:pPr>
      <w:r>
        <w:rPr>
          <w:b/>
        </w:rPr>
        <w:t>Our place</w:t>
      </w:r>
    </w:p>
    <w:p w:rsidR="00036F34" w:rsidRDefault="00855A9C" w:rsidP="00D234D1">
      <w:pPr>
        <w:jc w:val="both"/>
        <w:rPr>
          <w:i/>
        </w:rPr>
      </w:pPr>
      <w:r w:rsidRPr="00B33FDF">
        <w:t>In undertaking this portfolio of work HRI became the lead funder of advocacy to implement domestic violence laws in Eastern Europe and Eurasia.</w:t>
      </w:r>
      <w:r w:rsidR="00E37322">
        <w:t xml:space="preserve"> </w:t>
      </w:r>
      <w:r w:rsidR="004A0E28">
        <w:t>National g</w:t>
      </w:r>
      <w:r w:rsidR="00E37322">
        <w:t xml:space="preserve">overnments </w:t>
      </w:r>
      <w:r w:rsidR="004A0E28">
        <w:t>have</w:t>
      </w:r>
      <w:r w:rsidR="00E37322">
        <w:t xml:space="preserve"> not fund</w:t>
      </w:r>
      <w:r w:rsidR="004A0E28">
        <w:t>ed</w:t>
      </w:r>
      <w:r w:rsidR="00E37322">
        <w:t xml:space="preserve"> advocacy</w:t>
      </w:r>
      <w:r w:rsidR="00EE22C3">
        <w:t xml:space="preserve"> work</w:t>
      </w:r>
      <w:r w:rsidR="004A0E28">
        <w:t xml:space="preserve"> in this area</w:t>
      </w:r>
      <w:r w:rsidR="00EE22C3">
        <w:t xml:space="preserve">, and </w:t>
      </w:r>
      <w:r w:rsidR="004A0E28">
        <w:t>EU level support for this work has been very limited.</w:t>
      </w:r>
      <w:r w:rsidR="000307E7">
        <w:t xml:space="preserve"> </w:t>
      </w:r>
      <w:r w:rsidR="006A6E6F">
        <w:t>Core funding from private donors for domestic violence groups in Europe</w:t>
      </w:r>
      <w:r w:rsidR="005F3FEC">
        <w:t xml:space="preserve"> has also</w:t>
      </w:r>
      <w:r w:rsidR="006A6E6F">
        <w:t xml:space="preserve"> </w:t>
      </w:r>
      <w:r w:rsidR="005F3FEC">
        <w:t>been</w:t>
      </w:r>
      <w:r w:rsidR="006A6E6F">
        <w:t xml:space="preserve"> limited</w:t>
      </w:r>
      <w:r w:rsidR="005F3FEC">
        <w:t xml:space="preserve"> and in decline</w:t>
      </w:r>
      <w:r w:rsidR="00E445FA">
        <w:t>.</w:t>
      </w:r>
      <w:r w:rsidR="006A6E6F">
        <w:t xml:space="preserve"> Several foundations have left the region in recent</w:t>
      </w:r>
      <w:r w:rsidR="00E445FA">
        <w:t xml:space="preserve"> years. A couple of foundations, </w:t>
      </w:r>
      <w:r w:rsidR="006A6E6F">
        <w:t>including the OAK Foundation and the Sigrid Rausing Trust</w:t>
      </w:r>
      <w:r w:rsidR="00E445FA">
        <w:t>,</w:t>
      </w:r>
      <w:r w:rsidR="006A6E6F">
        <w:t xml:space="preserve"> only provide such support in a select number of countries. </w:t>
      </w:r>
      <w:r w:rsidR="00C520A8">
        <w:t>Mama Cash</w:t>
      </w:r>
      <w:r w:rsidR="004531AD">
        <w:t xml:space="preserve"> and</w:t>
      </w:r>
      <w:r w:rsidR="00C520A8">
        <w:t xml:space="preserve"> the </w:t>
      </w:r>
      <w:r w:rsidR="0026368B">
        <w:t>Global Fund for Women</w:t>
      </w:r>
      <w:r>
        <w:t xml:space="preserve"> </w:t>
      </w:r>
      <w:r w:rsidR="005F3FEC">
        <w:t xml:space="preserve">have </w:t>
      </w:r>
      <w:r>
        <w:t>provided general support to women’s rights groups,</w:t>
      </w:r>
      <w:r w:rsidR="004531AD">
        <w:t xml:space="preserve"> </w:t>
      </w:r>
      <w:r>
        <w:t>h</w:t>
      </w:r>
      <w:r w:rsidR="00E445FA">
        <w:t>owever,</w:t>
      </w:r>
      <w:r w:rsidR="004531AD">
        <w:t xml:space="preserve"> the grants awarded tended to be small. </w:t>
      </w:r>
      <w:r w:rsidR="00C520A8">
        <w:t>Embassies have</w:t>
      </w:r>
      <w:r w:rsidR="004531AD">
        <w:t xml:space="preserve"> also </w:t>
      </w:r>
      <w:r w:rsidR="00C520A8">
        <w:t>supported small-sc</w:t>
      </w:r>
      <w:r w:rsidR="0026368B">
        <w:t>ale women’s rights projects</w:t>
      </w:r>
      <w:r w:rsidR="00E445FA">
        <w:t>.</w:t>
      </w:r>
      <w:r w:rsidR="00C520A8">
        <w:t xml:space="preserve"> </w:t>
      </w:r>
      <w:r w:rsidR="00036F34" w:rsidRPr="00036F34">
        <w:t>Within OSF</w:t>
      </w:r>
      <w:r w:rsidR="00E445FA">
        <w:t>,</w:t>
      </w:r>
      <w:r w:rsidR="00036F34" w:rsidRPr="00036F34">
        <w:t xml:space="preserve"> HRI has been the primary funder of this work. Other OSF entities</w:t>
      </w:r>
      <w:r w:rsidR="00E445FA">
        <w:t>,</w:t>
      </w:r>
      <w:r w:rsidR="00036F34" w:rsidRPr="00036F34">
        <w:t xml:space="preserve"> both geographic and thematic working in Eastern Europe and Eurasia</w:t>
      </w:r>
      <w:r w:rsidR="00E445FA">
        <w:t>,</w:t>
      </w:r>
      <w:r w:rsidR="00036F34" w:rsidRPr="00036F34">
        <w:t xml:space="preserve"> have not prioritized this work although have at times provided limited support</w:t>
      </w:r>
      <w:r w:rsidR="00E445FA">
        <w:t>,</w:t>
      </w:r>
      <w:r w:rsidR="00036F34" w:rsidRPr="00036F34">
        <w:t xml:space="preserve"> including co-funding some of the groups we supported.</w:t>
      </w:r>
      <w:r w:rsidR="00036F34">
        <w:rPr>
          <w:i/>
        </w:rPr>
        <w:t xml:space="preserve"> </w:t>
      </w:r>
    </w:p>
    <w:p w:rsidR="00013191" w:rsidRDefault="00CF42CC" w:rsidP="00D234D1">
      <w:pPr>
        <w:jc w:val="both"/>
      </w:pPr>
      <w:r>
        <w:t xml:space="preserve">In terms of </w:t>
      </w:r>
      <w:r w:rsidR="009F2987">
        <w:t>key players with expertise in promoting the implementation of domestic violence laws, Advocates for Human Rights</w:t>
      </w:r>
      <w:r w:rsidR="00B73398">
        <w:t xml:space="preserve"> (AHR)</w:t>
      </w:r>
      <w:r w:rsidR="009F2987">
        <w:t xml:space="preserve">, a Minnesota-based NGO </w:t>
      </w:r>
      <w:r w:rsidR="00431C27">
        <w:t xml:space="preserve">has </w:t>
      </w:r>
      <w:r w:rsidR="00EA7F86">
        <w:t xml:space="preserve">focused on promoting </w:t>
      </w:r>
      <w:r w:rsidR="009F2987">
        <w:t>domestic violence legal reform</w:t>
      </w:r>
      <w:r w:rsidR="00EA7F86">
        <w:t xml:space="preserve"> in</w:t>
      </w:r>
      <w:r w:rsidR="009F2987">
        <w:t xml:space="preserve"> </w:t>
      </w:r>
      <w:r w:rsidR="00B73398">
        <w:t xml:space="preserve">Europe and Eurasia </w:t>
      </w:r>
      <w:r w:rsidR="009F2987">
        <w:t xml:space="preserve">since the early </w:t>
      </w:r>
      <w:r w:rsidR="00B73398">
        <w:t>1990</w:t>
      </w:r>
      <w:r w:rsidR="009F2987">
        <w:t>s</w:t>
      </w:r>
      <w:r w:rsidR="00431C27">
        <w:t>. AHR</w:t>
      </w:r>
      <w:r w:rsidR="009F2987">
        <w:t xml:space="preserve"> produced the first human rights reports on the topic in at least ten countries of the region. </w:t>
      </w:r>
      <w:r w:rsidR="00431C27">
        <w:t>As a part of this portfolio we</w:t>
      </w:r>
      <w:r w:rsidR="009F2987">
        <w:t xml:space="preserve"> funded AHR to produce </w:t>
      </w:r>
      <w:r w:rsidR="00B73398">
        <w:t>joint reports with local groups</w:t>
      </w:r>
      <w:r w:rsidR="009F2987">
        <w:t xml:space="preserve"> and to hold regional workshops </w:t>
      </w:r>
      <w:r w:rsidR="00431C27">
        <w:t>that focused on</w:t>
      </w:r>
      <w:r w:rsidR="00EA7F86">
        <w:t xml:space="preserve"> </w:t>
      </w:r>
      <w:r w:rsidR="009F2987">
        <w:t>skills</w:t>
      </w:r>
      <w:r w:rsidR="00431C27">
        <w:t xml:space="preserve"> development for local activists.</w:t>
      </w:r>
      <w:r w:rsidR="009F2987">
        <w:t xml:space="preserve"> </w:t>
      </w:r>
      <w:r w:rsidR="00431C27">
        <w:t>This has included the</w:t>
      </w:r>
      <w:r w:rsidR="009F2987">
        <w:t xml:space="preserve"> use of court monitoring</w:t>
      </w:r>
      <w:r w:rsidR="006A6E6F">
        <w:t xml:space="preserve"> and</w:t>
      </w:r>
      <w:r w:rsidR="009F2987">
        <w:t xml:space="preserve"> the preparation of strong monitoring reports to demonstrate the gaps in implementation of domestic violence laws and policies. Interights, </w:t>
      </w:r>
      <w:r w:rsidR="006A6E6F">
        <w:t>a</w:t>
      </w:r>
      <w:r w:rsidR="009F2987">
        <w:t xml:space="preserve"> London-based strategic litigation group, </w:t>
      </w:r>
      <w:r w:rsidR="00B73398">
        <w:t>was</w:t>
      </w:r>
      <w:r w:rsidR="009F2987">
        <w:t xml:space="preserve"> among the first in Europe to test the </w:t>
      </w:r>
      <w:r w:rsidR="00544DF3">
        <w:t>ECt</w:t>
      </w:r>
      <w:r w:rsidR="00B73398">
        <w:t>HR on</w:t>
      </w:r>
      <w:r w:rsidR="009F2987">
        <w:t xml:space="preserve"> women’s rights cases</w:t>
      </w:r>
      <w:r w:rsidR="000664A4">
        <w:t>.</w:t>
      </w:r>
      <w:r w:rsidR="009F2987">
        <w:t xml:space="preserve"> We supported Interights in taking strategic women’s rights cases from Eastern Europe</w:t>
      </w:r>
      <w:r w:rsidR="007A7662">
        <w:t xml:space="preserve"> to the ECt</w:t>
      </w:r>
      <w:r w:rsidR="009F2987">
        <w:t>HR and in building the litigation capacities of local advocates across the region.</w:t>
      </w:r>
    </w:p>
    <w:p w:rsidR="00BC1C66" w:rsidRDefault="00BC1C66">
      <w:r>
        <w:t xml:space="preserve">The focus of our </w:t>
      </w:r>
      <w:r w:rsidRPr="00BC1C66">
        <w:t>funding was on grassroots women’s rights g</w:t>
      </w:r>
      <w:r>
        <w:t xml:space="preserve">roups that </w:t>
      </w:r>
      <w:r w:rsidRPr="00BC1C66">
        <w:t>were committed to increasing state accountability, had shown leadership in advocating f</w:t>
      </w:r>
      <w:r w:rsidR="00366573">
        <w:t>or better rights protection for</w:t>
      </w:r>
      <w:r w:rsidRPr="00BC1C66">
        <w:t xml:space="preserve"> victims of domestic violence, and enjoyed credibility in the small women’s rights movements in the region. These groups were led by first-ge</w:t>
      </w:r>
      <w:r>
        <w:t>neration women’s rights leaders</w:t>
      </w:r>
      <w:r w:rsidRPr="00BC1C66">
        <w:t xml:space="preserve">, visionary feminists, who organized a handful of activists to strategize on how to best address ongoing problems of systemic violence. </w:t>
      </w:r>
    </w:p>
    <w:p w:rsidR="0045251D" w:rsidRPr="00F24A94" w:rsidRDefault="00C7068C">
      <w:pPr>
        <w:rPr>
          <w:b/>
        </w:rPr>
      </w:pPr>
      <w:r>
        <w:rPr>
          <w:b/>
        </w:rPr>
        <w:t>Successes and innovations</w:t>
      </w:r>
    </w:p>
    <w:p w:rsidR="00602E1A" w:rsidRPr="004C648F" w:rsidRDefault="009D49A2" w:rsidP="00A04A61">
      <w:pPr>
        <w:jc w:val="both"/>
        <w:rPr>
          <w:i/>
        </w:rPr>
      </w:pPr>
      <w:r>
        <w:rPr>
          <w:i/>
        </w:rPr>
        <w:t>W</w:t>
      </w:r>
      <w:r w:rsidR="000664A4">
        <w:rPr>
          <w:i/>
        </w:rPr>
        <w:t xml:space="preserve">omen’s </w:t>
      </w:r>
      <w:r>
        <w:rPr>
          <w:i/>
        </w:rPr>
        <w:t xml:space="preserve">rights </w:t>
      </w:r>
      <w:r w:rsidR="000664A4">
        <w:rPr>
          <w:i/>
        </w:rPr>
        <w:t>groups</w:t>
      </w:r>
      <w:r>
        <w:rPr>
          <w:i/>
        </w:rPr>
        <w:t xml:space="preserve"> empowered</w:t>
      </w:r>
      <w:r w:rsidR="000664A4">
        <w:rPr>
          <w:i/>
        </w:rPr>
        <w:t xml:space="preserve"> to play</w:t>
      </w:r>
      <w:r w:rsidR="00602E1A" w:rsidRPr="004C648F">
        <w:rPr>
          <w:i/>
        </w:rPr>
        <w:t xml:space="preserve"> </w:t>
      </w:r>
      <w:r>
        <w:rPr>
          <w:i/>
        </w:rPr>
        <w:t xml:space="preserve">lead role in advocacy for implementation of domestic violence laws </w:t>
      </w:r>
    </w:p>
    <w:p w:rsidR="00C86DB0" w:rsidRDefault="009D49A2" w:rsidP="00A04A61">
      <w:pPr>
        <w:jc w:val="both"/>
      </w:pPr>
      <w:r>
        <w:t xml:space="preserve">With </w:t>
      </w:r>
      <w:r w:rsidR="00E64487">
        <w:t xml:space="preserve">HRI </w:t>
      </w:r>
      <w:r>
        <w:t>support</w:t>
      </w:r>
      <w:r w:rsidR="00BC1C66">
        <w:t>,</w:t>
      </w:r>
      <w:r>
        <w:t xml:space="preserve"> </w:t>
      </w:r>
      <w:r w:rsidR="00E64487">
        <w:t xml:space="preserve">grantees developed </w:t>
      </w:r>
      <w:r>
        <w:t xml:space="preserve">their advocacy skills and capacity </w:t>
      </w:r>
      <w:r w:rsidR="00124BD3">
        <w:t xml:space="preserve">while </w:t>
      </w:r>
      <w:r>
        <w:t>retaining</w:t>
      </w:r>
      <w:r w:rsidR="00124BD3">
        <w:t xml:space="preserve"> their</w:t>
      </w:r>
      <w:r w:rsidR="00E64487">
        <w:t xml:space="preserve"> original service provision work</w:t>
      </w:r>
      <w:r>
        <w:t>.</w:t>
      </w:r>
      <w:r w:rsidR="00E64487">
        <w:t xml:space="preserve"> </w:t>
      </w:r>
      <w:r w:rsidR="00681A2E">
        <w:t xml:space="preserve">The litigation </w:t>
      </w:r>
      <w:r w:rsidR="00E64487">
        <w:t xml:space="preserve">and monitoring </w:t>
      </w:r>
      <w:r w:rsidR="00402185">
        <w:t xml:space="preserve">work </w:t>
      </w:r>
      <w:r w:rsidR="00681A2E">
        <w:t xml:space="preserve">of women’s </w:t>
      </w:r>
      <w:r w:rsidR="00402185">
        <w:t xml:space="preserve">rights </w:t>
      </w:r>
      <w:r w:rsidR="00681A2E">
        <w:t>groups acro</w:t>
      </w:r>
      <w:r w:rsidR="00307F8D">
        <w:t>ss the region</w:t>
      </w:r>
      <w:r w:rsidR="00DB6DFE">
        <w:t xml:space="preserve"> improved </w:t>
      </w:r>
      <w:r w:rsidR="00681A2E">
        <w:t>significantly</w:t>
      </w:r>
      <w:r w:rsidR="002523AB">
        <w:t>, as well as their ability to undertake legal advocacy</w:t>
      </w:r>
      <w:r w:rsidR="00E64487">
        <w:t>.</w:t>
      </w:r>
      <w:r w:rsidR="00B95812">
        <w:t xml:space="preserve"> </w:t>
      </w:r>
      <w:r w:rsidR="00124BD3">
        <w:t xml:space="preserve">Most </w:t>
      </w:r>
      <w:r w:rsidR="00F9401D">
        <w:t xml:space="preserve">of </w:t>
      </w:r>
      <w:r w:rsidR="00B95812">
        <w:t>HRI</w:t>
      </w:r>
      <w:r w:rsidR="005F3FEC">
        <w:t>’s</w:t>
      </w:r>
      <w:r w:rsidR="00DB6DFE">
        <w:t xml:space="preserve"> grantees</w:t>
      </w:r>
      <w:r w:rsidR="00F9401D">
        <w:t xml:space="preserve"> that </w:t>
      </w:r>
      <w:r w:rsidR="005F3FEC">
        <w:t>were</w:t>
      </w:r>
      <w:r w:rsidR="00F9401D">
        <w:t xml:space="preserve"> part of this portfolio now</w:t>
      </w:r>
      <w:r w:rsidR="00DB6DFE">
        <w:t xml:space="preserve"> offer legal aid and engage in litigation in domestic courts</w:t>
      </w:r>
      <w:r w:rsidR="00BC1C66">
        <w:t>,</w:t>
      </w:r>
      <w:r w:rsidR="00DB6DFE">
        <w:t xml:space="preserve"> with a significant portion also taki</w:t>
      </w:r>
      <w:r w:rsidR="00B93881">
        <w:t>ng strategic cases to</w:t>
      </w:r>
      <w:r w:rsidR="00DB6DFE">
        <w:t xml:space="preserve"> the ECtH</w:t>
      </w:r>
      <w:r w:rsidR="002C2EAD">
        <w:t>R and to the CEDAW Committee</w:t>
      </w:r>
      <w:r w:rsidR="00DB6DFE">
        <w:t xml:space="preserve">. </w:t>
      </w:r>
      <w:r w:rsidR="00E64487">
        <w:t xml:space="preserve">Many groups improved their monitoring skills and are </w:t>
      </w:r>
      <w:r w:rsidR="002523AB">
        <w:t xml:space="preserve">now </w:t>
      </w:r>
      <w:r w:rsidR="00E64487">
        <w:t>able to produce meaningful report</w:t>
      </w:r>
      <w:r w:rsidR="002523AB">
        <w:t>s</w:t>
      </w:r>
      <w:r w:rsidR="00E64487">
        <w:t xml:space="preserve"> </w:t>
      </w:r>
      <w:r w:rsidR="002523AB">
        <w:t xml:space="preserve">for domestic audiences and for international bodies. A number of </w:t>
      </w:r>
      <w:r w:rsidR="00B0702C">
        <w:t>groups</w:t>
      </w:r>
      <w:r w:rsidR="002523AB">
        <w:t xml:space="preserve"> </w:t>
      </w:r>
      <w:r w:rsidR="00E64487">
        <w:t>undert</w:t>
      </w:r>
      <w:r w:rsidR="005F3FEC">
        <w:t>ook</w:t>
      </w:r>
      <w:r w:rsidR="00E64487">
        <w:t xml:space="preserve"> court monitoring</w:t>
      </w:r>
      <w:r w:rsidR="002523AB">
        <w:t xml:space="preserve"> to </w:t>
      </w:r>
      <w:r w:rsidR="005F3FEC">
        <w:t>assess</w:t>
      </w:r>
      <w:r w:rsidR="002523AB">
        <w:t xml:space="preserve"> how the courts respond to domestic violence cases</w:t>
      </w:r>
      <w:r w:rsidR="00BC1C66">
        <w:t>. The finding</w:t>
      </w:r>
      <w:r w:rsidR="005F3FEC">
        <w:t xml:space="preserve">s from this monitoring </w:t>
      </w:r>
      <w:r w:rsidR="00BC1C66">
        <w:t>were</w:t>
      </w:r>
      <w:r w:rsidR="002523AB">
        <w:t xml:space="preserve"> used to undertake </w:t>
      </w:r>
      <w:r w:rsidR="005F3FEC">
        <w:t xml:space="preserve">strategic </w:t>
      </w:r>
      <w:r w:rsidR="002523AB">
        <w:t xml:space="preserve">advocacy </w:t>
      </w:r>
      <w:r w:rsidR="005F3FEC">
        <w:t xml:space="preserve">aimed at </w:t>
      </w:r>
      <w:r w:rsidR="002523AB">
        <w:t xml:space="preserve">improving the response </w:t>
      </w:r>
      <w:r w:rsidR="005F3FEC">
        <w:t>of courts to domestic violence cases. Some groups also succeeded in get</w:t>
      </w:r>
      <w:r w:rsidR="00BC1C66">
        <w:t>ting</w:t>
      </w:r>
      <w:r w:rsidR="002523AB">
        <w:t xml:space="preserve"> </w:t>
      </w:r>
      <w:r w:rsidR="005F3FEC">
        <w:t xml:space="preserve">sensitivity </w:t>
      </w:r>
      <w:r w:rsidR="002523AB">
        <w:t>training on gender-based violence int</w:t>
      </w:r>
      <w:r w:rsidR="005F3FEC">
        <w:t>egrated into the</w:t>
      </w:r>
      <w:r w:rsidR="002523AB">
        <w:t xml:space="preserve"> training curricula for judges</w:t>
      </w:r>
      <w:r w:rsidR="00E64487">
        <w:t xml:space="preserve">. </w:t>
      </w:r>
      <w:r w:rsidR="00DB6DFE">
        <w:t xml:space="preserve">This </w:t>
      </w:r>
      <w:r w:rsidR="00F9401D">
        <w:t xml:space="preserve">enhanced legal advocacy work can at least partially be attributed to </w:t>
      </w:r>
      <w:r w:rsidR="00DB6DFE">
        <w:t xml:space="preserve">HRI’s </w:t>
      </w:r>
      <w:r w:rsidR="00F9401D">
        <w:t xml:space="preserve">support to groups to </w:t>
      </w:r>
      <w:r w:rsidR="00DB6DFE">
        <w:t>contract or</w:t>
      </w:r>
      <w:r w:rsidR="00B93881">
        <w:t xml:space="preserve"> hire lawyers</w:t>
      </w:r>
      <w:r w:rsidR="00DB6DFE">
        <w:t xml:space="preserve"> a</w:t>
      </w:r>
      <w:r w:rsidR="00F9401D">
        <w:t>s well as</w:t>
      </w:r>
      <w:r w:rsidR="00DB6DFE">
        <w:t xml:space="preserve"> our investment in their capacity through regional capacity-building</w:t>
      </w:r>
      <w:r w:rsidR="00B95812">
        <w:t xml:space="preserve"> program</w:t>
      </w:r>
      <w:r w:rsidR="00520B93">
        <w:t>s</w:t>
      </w:r>
      <w:r w:rsidR="00B93881">
        <w:t>, litigation surgeries</w:t>
      </w:r>
      <w:r w:rsidR="00BC1C66">
        <w:t>,</w:t>
      </w:r>
      <w:r w:rsidR="00B93881">
        <w:t xml:space="preserve"> and trainings.</w:t>
      </w:r>
      <w:r w:rsidR="00B95812">
        <w:t xml:space="preserve"> </w:t>
      </w:r>
      <w:r w:rsidR="00072485">
        <w:t xml:space="preserve">Similarly, HRI support enabled the </w:t>
      </w:r>
      <w:r w:rsidR="00B0702C">
        <w:t>group</w:t>
      </w:r>
      <w:r w:rsidR="00072485">
        <w:t xml:space="preserve">s to prepare comprehensive monitoring reports on the implementation of domestic violence laws. </w:t>
      </w:r>
      <w:r w:rsidR="003C05DF">
        <w:t xml:space="preserve">These monitoring reports remedied the often complete lack of data on domestic violence and/or the state response to the phenomenon. NGOs typically used the data </w:t>
      </w:r>
      <w:r w:rsidR="00C86DB0">
        <w:t>to shape</w:t>
      </w:r>
      <w:r w:rsidR="009A6576">
        <w:t xml:space="preserve"> public awareness and </w:t>
      </w:r>
      <w:r w:rsidR="003C05DF">
        <w:t>to lobby the authorities for improving state response</w:t>
      </w:r>
      <w:r w:rsidR="00C86DB0">
        <w:t xml:space="preserve">, as well as to inform treaty bodies about gaps in implementation. </w:t>
      </w:r>
    </w:p>
    <w:p w:rsidR="00681A2E" w:rsidRDefault="00B93881" w:rsidP="00A04A61">
      <w:pPr>
        <w:jc w:val="both"/>
      </w:pPr>
      <w:r>
        <w:t>For example</w:t>
      </w:r>
      <w:r w:rsidR="00CA26F1">
        <w:t xml:space="preserve">, </w:t>
      </w:r>
      <w:r w:rsidR="00BC1C66">
        <w:t xml:space="preserve">in about five years from what was originally a shelter for victims of gender-based violence without significant legal work, </w:t>
      </w:r>
      <w:r w:rsidR="00CA26F1">
        <w:t xml:space="preserve">the St. Petersburg Shelter Center </w:t>
      </w:r>
      <w:r w:rsidR="009B608F">
        <w:t xml:space="preserve">developed </w:t>
      </w:r>
      <w:r w:rsidR="00CA26F1">
        <w:t xml:space="preserve">into a </w:t>
      </w:r>
      <w:r w:rsidR="009B608F">
        <w:t>real advocacy organization</w:t>
      </w:r>
      <w:r w:rsidR="00CA26F1">
        <w:t xml:space="preserve"> with two talented lawyers able to litigate </w:t>
      </w:r>
      <w:r w:rsidR="009B608F">
        <w:t>in</w:t>
      </w:r>
      <w:r w:rsidR="00CA26F1">
        <w:t xml:space="preserve"> domestic and international courts</w:t>
      </w:r>
      <w:r w:rsidR="00E9015A">
        <w:t xml:space="preserve">. </w:t>
      </w:r>
      <w:r w:rsidR="009A6576">
        <w:t>Our grants to the organization enab</w:t>
      </w:r>
      <w:r w:rsidR="00AE496D">
        <w:t>led them to hire</w:t>
      </w:r>
      <w:r w:rsidR="009A6576">
        <w:t xml:space="preserve"> lawyers for the first time</w:t>
      </w:r>
      <w:r w:rsidR="00177350">
        <w:t xml:space="preserve"> and to launch their litigation work. We also funded their lawyers’ participation in a regional capacity-building program on internation</w:t>
      </w:r>
      <w:r w:rsidR="00BC1C66">
        <w:t>al litigation avenues,</w:t>
      </w:r>
      <w:r w:rsidR="00177350">
        <w:t xml:space="preserve"> following which they started to develop cases on sexual violence and domestic violence. </w:t>
      </w:r>
      <w:r w:rsidR="009B608F">
        <w:t>Today</w:t>
      </w:r>
      <w:r w:rsidR="00CA26F1">
        <w:t xml:space="preserve"> </w:t>
      </w:r>
      <w:r w:rsidR="00177350">
        <w:t xml:space="preserve">one of </w:t>
      </w:r>
      <w:r w:rsidR="00E9015A">
        <w:t>these lawyers provide</w:t>
      </w:r>
      <w:r w:rsidR="00177350">
        <w:t>s</w:t>
      </w:r>
      <w:r w:rsidR="00CA26F1">
        <w:t xml:space="preserve"> training for others from </w:t>
      </w:r>
      <w:r w:rsidR="00E9015A">
        <w:t xml:space="preserve">Russia and </w:t>
      </w:r>
      <w:r>
        <w:t>Eurasia</w:t>
      </w:r>
      <w:r w:rsidR="00986574">
        <w:t>, in cooperation with HRI’s other Russian grantee, the ANNA Center</w:t>
      </w:r>
      <w:r>
        <w:t>, which</w:t>
      </w:r>
      <w:r w:rsidR="00E64487">
        <w:t xml:space="preserve"> we funded to produce the first monitoring report on </w:t>
      </w:r>
      <w:r w:rsidR="00124BD3">
        <w:t>violence against women</w:t>
      </w:r>
      <w:r w:rsidR="00E64487">
        <w:t xml:space="preserve"> in Russia</w:t>
      </w:r>
      <w:r w:rsidR="00714F3A">
        <w:t xml:space="preserve"> as well as its dissemination in Russia</w:t>
      </w:r>
      <w:r w:rsidR="00CA26F1">
        <w:t>.</w:t>
      </w:r>
      <w:r w:rsidR="00986574">
        <w:t xml:space="preserve"> </w:t>
      </w:r>
      <w:r w:rsidR="00520B93">
        <w:t xml:space="preserve">On the basis of the data, ANNA Center prepared a strong shadow report for the CEDAW Committee </w:t>
      </w:r>
      <w:r w:rsidR="00B0702C">
        <w:t>that</w:t>
      </w:r>
      <w:r w:rsidR="003C05DF">
        <w:t xml:space="preserve"> </w:t>
      </w:r>
      <w:r w:rsidR="007C6423">
        <w:t>includ</w:t>
      </w:r>
      <w:r w:rsidR="00B0702C">
        <w:t>ed</w:t>
      </w:r>
      <w:r w:rsidR="007C6423">
        <w:t xml:space="preserve">  data</w:t>
      </w:r>
      <w:r w:rsidR="003C05DF">
        <w:t xml:space="preserve"> </w:t>
      </w:r>
      <w:r w:rsidR="007C6423">
        <w:t>from</w:t>
      </w:r>
      <w:r w:rsidR="003C05DF">
        <w:t xml:space="preserve"> the Russian Ministry of Interior </w:t>
      </w:r>
      <w:r w:rsidR="00B0702C">
        <w:t>which estimated that approximately</w:t>
      </w:r>
      <w:r w:rsidR="004F11E1">
        <w:t xml:space="preserve"> </w:t>
      </w:r>
      <w:r w:rsidR="00714F3A">
        <w:t xml:space="preserve">14,000 women </w:t>
      </w:r>
      <w:r w:rsidR="00B0702C">
        <w:t xml:space="preserve">die </w:t>
      </w:r>
      <w:r w:rsidR="00714F3A">
        <w:t xml:space="preserve">annually </w:t>
      </w:r>
      <w:r w:rsidR="003C05DF">
        <w:t>as a result of domestic violence and demonstrating that the state has done very little to protect victims</w:t>
      </w:r>
      <w:r w:rsidR="00520B93">
        <w:t xml:space="preserve">. The CEDAW Committee issued </w:t>
      </w:r>
      <w:r w:rsidR="00B0702C">
        <w:t xml:space="preserve">a </w:t>
      </w:r>
      <w:r w:rsidR="00520B93">
        <w:t>strong</w:t>
      </w:r>
      <w:r w:rsidR="00FE0C13">
        <w:t>ly</w:t>
      </w:r>
      <w:r w:rsidR="00520B93">
        <w:t xml:space="preserve">-worded </w:t>
      </w:r>
      <w:r w:rsidR="00B0702C">
        <w:t xml:space="preserve">set of </w:t>
      </w:r>
      <w:r w:rsidR="00520B93">
        <w:t xml:space="preserve">concluding recommendations regarding the lack of protection for victims of domestic violence, following which </w:t>
      </w:r>
      <w:r w:rsidR="005F0BEF">
        <w:t>the government</w:t>
      </w:r>
      <w:r w:rsidR="00520B93">
        <w:t xml:space="preserve"> created </w:t>
      </w:r>
      <w:r w:rsidR="005F0BEF">
        <w:t xml:space="preserve">a working group to design </w:t>
      </w:r>
      <w:r w:rsidR="009B608F">
        <w:t xml:space="preserve">the country’s </w:t>
      </w:r>
      <w:r w:rsidR="005F0BEF">
        <w:t>first law on domestic violence</w:t>
      </w:r>
      <w:r w:rsidR="00714F3A">
        <w:t>.</w:t>
      </w:r>
      <w:r w:rsidR="00072485">
        <w:t xml:space="preserve"> ANNA Center </w:t>
      </w:r>
      <w:r w:rsidR="00714F3A">
        <w:t xml:space="preserve">was asked </w:t>
      </w:r>
      <w:r w:rsidR="00072485">
        <w:t xml:space="preserve">to lead the work </w:t>
      </w:r>
      <w:r w:rsidR="00714F3A">
        <w:t>and we</w:t>
      </w:r>
      <w:r w:rsidR="00B0702C">
        <w:t xml:space="preserve"> have</w:t>
      </w:r>
      <w:r w:rsidR="00714F3A">
        <w:t xml:space="preserve"> supported the organization in </w:t>
      </w:r>
      <w:r w:rsidR="003C05DF">
        <w:t>undertaking</w:t>
      </w:r>
      <w:r w:rsidR="00072485">
        <w:t xml:space="preserve"> this role</w:t>
      </w:r>
      <w:r w:rsidR="009B608F">
        <w:t xml:space="preserve">. </w:t>
      </w:r>
      <w:r w:rsidR="00072485">
        <w:t xml:space="preserve">The draft law is </w:t>
      </w:r>
      <w:r w:rsidR="00B0702C">
        <w:t xml:space="preserve">currently </w:t>
      </w:r>
      <w:r w:rsidR="00072485">
        <w:t xml:space="preserve">awaiting debate in the Duma. </w:t>
      </w:r>
    </w:p>
    <w:p w:rsidR="00901AE3" w:rsidRPr="00901AE3" w:rsidRDefault="00901AE3" w:rsidP="00A04A61">
      <w:pPr>
        <w:jc w:val="both"/>
        <w:rPr>
          <w:i/>
        </w:rPr>
      </w:pPr>
      <w:r w:rsidRPr="00901AE3">
        <w:rPr>
          <w:i/>
        </w:rPr>
        <w:t>Increased strategic litigation capacity</w:t>
      </w:r>
      <w:r w:rsidR="004602A4">
        <w:rPr>
          <w:i/>
        </w:rPr>
        <w:t xml:space="preserve"> </w:t>
      </w:r>
      <w:r w:rsidR="004602A4" w:rsidRPr="00BC1C66">
        <w:rPr>
          <w:i/>
        </w:rPr>
        <w:t>and centers of excellence in the region</w:t>
      </w:r>
    </w:p>
    <w:p w:rsidR="006E3A86" w:rsidRDefault="00A512E2" w:rsidP="00A04A61">
      <w:pPr>
        <w:jc w:val="both"/>
      </w:pPr>
      <w:r>
        <w:t xml:space="preserve">The Women’s Human Rights Training Institute (WHRTI) is a regional training program launched a decade ago </w:t>
      </w:r>
      <w:r w:rsidR="009A6576">
        <w:t xml:space="preserve">with HRI support </w:t>
      </w:r>
      <w:r>
        <w:t xml:space="preserve">by the Bulgarian Gender Research Foundation </w:t>
      </w:r>
      <w:r w:rsidR="004602A4">
        <w:t xml:space="preserve">(BGRF) </w:t>
      </w:r>
      <w:r>
        <w:t xml:space="preserve">and its partners in order to remedy the lack of strategic litigation capacity </w:t>
      </w:r>
      <w:r w:rsidR="00B93881">
        <w:t xml:space="preserve">of </w:t>
      </w:r>
      <w:r>
        <w:t>women’s</w:t>
      </w:r>
      <w:r w:rsidR="00B93881">
        <w:t xml:space="preserve"> </w:t>
      </w:r>
      <w:r w:rsidR="00FE0C13">
        <w:t xml:space="preserve">rights </w:t>
      </w:r>
      <w:r w:rsidR="00B93881">
        <w:t>groups</w:t>
      </w:r>
      <w:r w:rsidR="00901AE3">
        <w:t xml:space="preserve">. </w:t>
      </w:r>
      <w:r w:rsidR="002029BB" w:rsidRPr="002029BB">
        <w:t xml:space="preserve">Through our funding and operational support to the WHRTI we have been able to support the creation of a network of more than 100 lawyers </w:t>
      </w:r>
      <w:r w:rsidR="002029BB">
        <w:t xml:space="preserve">from 21 countries of Europe and Eurasia </w:t>
      </w:r>
      <w:r w:rsidR="002029BB" w:rsidRPr="002029BB">
        <w:t>who</w:t>
      </w:r>
      <w:r w:rsidR="002029BB">
        <w:t xml:space="preserve"> were</w:t>
      </w:r>
      <w:r w:rsidR="002029BB" w:rsidRPr="002029BB">
        <w:t xml:space="preserve"> trained to undertake domestic violence litigation including strategic impact litigation that holds governments accountable for implementation of laws. </w:t>
      </w:r>
      <w:r>
        <w:t>Many graduates</w:t>
      </w:r>
      <w:r w:rsidR="009B608F">
        <w:t xml:space="preserve"> of this training institute</w:t>
      </w:r>
      <w:r>
        <w:t xml:space="preserve"> have laun</w:t>
      </w:r>
      <w:r w:rsidR="002029BB">
        <w:t>ched cases in domestic courts as well as</w:t>
      </w:r>
      <w:r>
        <w:t xml:space="preserve"> at the ECtHR</w:t>
      </w:r>
      <w:r w:rsidR="002029BB">
        <w:t xml:space="preserve"> and under the </w:t>
      </w:r>
      <w:r w:rsidR="008A7634" w:rsidRPr="008A7634">
        <w:rPr>
          <w:rStyle w:val="Emphasis"/>
          <w:rFonts w:cs="Arial"/>
          <w:b w:val="0"/>
          <w:lang w:val="hu-HU"/>
        </w:rPr>
        <w:t>Optional Protocol</w:t>
      </w:r>
      <w:r w:rsidR="008A7634" w:rsidRPr="008A7634">
        <w:rPr>
          <w:rStyle w:val="st1"/>
          <w:rFonts w:cs="Arial"/>
          <w:lang w:val="hu-HU"/>
        </w:rPr>
        <w:t xml:space="preserve"> to the Convention on the Elimination of All Forms of Discrimination against Women</w:t>
      </w:r>
      <w:r w:rsidR="008A7634">
        <w:rPr>
          <w:rStyle w:val="st1"/>
          <w:rFonts w:cs="Arial"/>
          <w:lang w:val="hu-HU"/>
        </w:rPr>
        <w:t xml:space="preserve"> (CEDAW)</w:t>
      </w:r>
      <w:r w:rsidR="002029BB">
        <w:t>.</w:t>
      </w:r>
      <w:r>
        <w:t xml:space="preserve"> </w:t>
      </w:r>
      <w:r w:rsidR="002029BB">
        <w:t>Several graduates of the program</w:t>
      </w:r>
      <w:r>
        <w:t xml:space="preserve"> </w:t>
      </w:r>
      <w:r w:rsidR="009B608F">
        <w:t>created</w:t>
      </w:r>
      <w:r>
        <w:t xml:space="preserve"> new NGOs</w:t>
      </w:r>
      <w:r w:rsidR="009B608F">
        <w:t xml:space="preserve"> to advance women’s rights</w:t>
      </w:r>
      <w:r w:rsidR="006E3A86">
        <w:t xml:space="preserve"> and a number of women’s rights groups in the region are now led by WHRTI graduates</w:t>
      </w:r>
      <w:r w:rsidR="002029BB">
        <w:t xml:space="preserve">. </w:t>
      </w:r>
      <w:r w:rsidR="006E3A86">
        <w:t xml:space="preserve">Most trained lawyers are part of a strong network and continue to work together years after their participation in the program. </w:t>
      </w:r>
      <w:r w:rsidR="002029BB">
        <w:t>WHRTI</w:t>
      </w:r>
      <w:r>
        <w:t xml:space="preserve"> produced the first generation of women’s rights lawyers in the region and a new generation of women’s rights ac</w:t>
      </w:r>
      <w:r w:rsidRPr="00366573">
        <w:t>tivists</w:t>
      </w:r>
      <w:r w:rsidR="00FE0C13" w:rsidRPr="00366573">
        <w:t>.</w:t>
      </w:r>
      <w:r w:rsidR="004F11E1" w:rsidRPr="00366573">
        <w:t xml:space="preserve"> </w:t>
      </w:r>
      <w:r w:rsidR="004602A4" w:rsidRPr="00366573">
        <w:t>Several lawyers from this network became acknowledged experts in their subject areas. In addition, BGRF has</w:t>
      </w:r>
      <w:r w:rsidR="00E4558B" w:rsidRPr="00366573">
        <w:t xml:space="preserve"> </w:t>
      </w:r>
      <w:r w:rsidR="004602A4" w:rsidRPr="00366573">
        <w:t xml:space="preserve">become a regional center for excellence on women’s rights litigation and monitoring work and has supported women’s rights </w:t>
      </w:r>
      <w:r w:rsidR="00562240" w:rsidRPr="00366573">
        <w:t>group</w:t>
      </w:r>
      <w:r w:rsidR="004602A4" w:rsidRPr="00366573">
        <w:t>s in other countries in developing their skills.</w:t>
      </w:r>
    </w:p>
    <w:p w:rsidR="00A512E2" w:rsidRDefault="00197546" w:rsidP="00A04A61">
      <w:pPr>
        <w:jc w:val="both"/>
      </w:pPr>
      <w:r>
        <w:t xml:space="preserve">Although HRI’s role was primarily grant-making, HRI staff took part in some operational-level work, especially at times when strategic decisions had to be made that had implications beyond the actual </w:t>
      </w:r>
      <w:r w:rsidR="00D20ADF">
        <w:t xml:space="preserve">program </w:t>
      </w:r>
      <w:r>
        <w:t>grant. For example i</w:t>
      </w:r>
      <w:r w:rsidR="009B608F">
        <w:t xml:space="preserve">n reviewing the </w:t>
      </w:r>
      <w:r w:rsidR="00E4558B">
        <w:t xml:space="preserve">first few cycles of the training </w:t>
      </w:r>
      <w:r w:rsidR="00105D5D">
        <w:t xml:space="preserve">one gap that was clear to </w:t>
      </w:r>
      <w:r>
        <w:t xml:space="preserve">BGRF and us </w:t>
      </w:r>
      <w:r w:rsidR="00105D5D">
        <w:t xml:space="preserve">was </w:t>
      </w:r>
      <w:r w:rsidR="00E4558B">
        <w:t xml:space="preserve">that applicants from Central Asia and Russia </w:t>
      </w:r>
      <w:r w:rsidR="00105D5D">
        <w:t>were</w:t>
      </w:r>
      <w:r w:rsidR="00E4558B">
        <w:t xml:space="preserve"> </w:t>
      </w:r>
      <w:r w:rsidR="00703280">
        <w:t>underrepresented</w:t>
      </w:r>
      <w:r w:rsidR="00B0702C">
        <w:t>. This was</w:t>
      </w:r>
      <w:r>
        <w:t xml:space="preserve"> largely due to </w:t>
      </w:r>
      <w:r w:rsidR="00B0702C">
        <w:t>a</w:t>
      </w:r>
      <w:r>
        <w:t xml:space="preserve"> language barrier</w:t>
      </w:r>
      <w:r w:rsidR="00B0702C">
        <w:t xml:space="preserve"> resulting from the fact </w:t>
      </w:r>
      <w:r>
        <w:t>that the program</w:t>
      </w:r>
      <w:r w:rsidR="00B0702C">
        <w:t xml:space="preserve"> was conducted </w:t>
      </w:r>
      <w:r w:rsidR="002A6D96">
        <w:t xml:space="preserve">in </w:t>
      </w:r>
      <w:r w:rsidR="00B0702C">
        <w:t>English which</w:t>
      </w:r>
      <w:r>
        <w:t xml:space="preserve"> meant </w:t>
      </w:r>
      <w:r w:rsidR="00B0702C">
        <w:t>that it was not assessable to many</w:t>
      </w:r>
      <w:r>
        <w:t xml:space="preserve"> young lawyers </w:t>
      </w:r>
      <w:r w:rsidR="00B0702C">
        <w:t>from</w:t>
      </w:r>
      <w:r>
        <w:t xml:space="preserve"> Eurasia</w:t>
      </w:r>
      <w:r w:rsidR="00E4558B">
        <w:t xml:space="preserve">. </w:t>
      </w:r>
      <w:r w:rsidR="00D20ADF">
        <w:t xml:space="preserve">Although BGRF was interested in developing a Russian-language program, our role was to identify an organization that would enjoy strong credibility among Russian lawyers, ensure knowledge transfer between BGRF and the other organization, manage expectations from all partners, and facilitate the development and launch of the Russian training program without that becoming </w:t>
      </w:r>
      <w:r w:rsidR="008F797B">
        <w:t xml:space="preserve">overly </w:t>
      </w:r>
      <w:r w:rsidR="00D20ADF">
        <w:t xml:space="preserve">donor-driven. Following about two years of process work, the </w:t>
      </w:r>
      <w:r w:rsidR="00E4558B">
        <w:t>Russian-speaking training program</w:t>
      </w:r>
      <w:r w:rsidR="00D20ADF">
        <w:t xml:space="preserve"> was launched under the leadership of</w:t>
      </w:r>
      <w:r w:rsidR="00105D5D">
        <w:t xml:space="preserve"> </w:t>
      </w:r>
      <w:r w:rsidR="00E4558B">
        <w:t>ANNA Center</w:t>
      </w:r>
      <w:r w:rsidR="00F95FBC">
        <w:t xml:space="preserve"> with the</w:t>
      </w:r>
      <w:r w:rsidR="00D20ADF">
        <w:t xml:space="preserve"> full support </w:t>
      </w:r>
      <w:r w:rsidR="00F95FBC">
        <w:t>of</w:t>
      </w:r>
      <w:r w:rsidR="00D20ADF">
        <w:t xml:space="preserve"> BGRF</w:t>
      </w:r>
      <w:r w:rsidR="00E4558B">
        <w:t>.</w:t>
      </w:r>
    </w:p>
    <w:p w:rsidR="00602E1A" w:rsidRPr="004C648F" w:rsidRDefault="00602E1A" w:rsidP="00A04A61">
      <w:pPr>
        <w:jc w:val="both"/>
        <w:rPr>
          <w:i/>
        </w:rPr>
      </w:pPr>
      <w:r w:rsidRPr="004C648F">
        <w:rPr>
          <w:i/>
        </w:rPr>
        <w:t xml:space="preserve">Progress in </w:t>
      </w:r>
      <w:r w:rsidR="00A512E2" w:rsidRPr="004C648F">
        <w:rPr>
          <w:i/>
        </w:rPr>
        <w:t>the implementation of</w:t>
      </w:r>
      <w:r w:rsidRPr="004C648F">
        <w:rPr>
          <w:i/>
        </w:rPr>
        <w:t xml:space="preserve"> domestic violence legislation</w:t>
      </w:r>
    </w:p>
    <w:p w:rsidR="009A584C" w:rsidRDefault="00124BD3" w:rsidP="00A04A61">
      <w:pPr>
        <w:jc w:val="both"/>
      </w:pPr>
      <w:r>
        <w:t xml:space="preserve">HRI </w:t>
      </w:r>
      <w:r w:rsidR="00105D5D">
        <w:t xml:space="preserve">funding and other support has enabled our </w:t>
      </w:r>
      <w:r>
        <w:t xml:space="preserve">grantees </w:t>
      </w:r>
      <w:r w:rsidR="00105D5D">
        <w:t xml:space="preserve">to play a lead role in achieving </w:t>
      </w:r>
      <w:r w:rsidR="00BB0B4B">
        <w:t>significant improvements in the implementation of domestic violence</w:t>
      </w:r>
      <w:r w:rsidR="00B24529">
        <w:t xml:space="preserve"> legislation</w:t>
      </w:r>
      <w:r w:rsidR="00BB0B4B">
        <w:t xml:space="preserve">. </w:t>
      </w:r>
      <w:r w:rsidR="009A584C">
        <w:t>Grantees have often focused on the implementation of restraining orders</w:t>
      </w:r>
      <w:r w:rsidR="00A25092">
        <w:t>, e.g.</w:t>
      </w:r>
      <w:r w:rsidR="00F95FBC">
        <w:t>,</w:t>
      </w:r>
      <w:r w:rsidR="00A25092">
        <w:t xml:space="preserve"> this has been a priority in Albania, Azerbaijan, Bulgaria, Georgia, Hungary and Poland</w:t>
      </w:r>
      <w:r w:rsidR="009A584C">
        <w:t xml:space="preserve">. </w:t>
      </w:r>
      <w:r w:rsidR="00BB0B4B">
        <w:t xml:space="preserve">For </w:t>
      </w:r>
      <w:r w:rsidR="00F95FBC">
        <w:t>example in Albania</w:t>
      </w:r>
      <w:r w:rsidR="00BB0B4B">
        <w:t xml:space="preserve"> the Human Rights and Democracy C</w:t>
      </w:r>
      <w:r w:rsidR="00653B75">
        <w:t>enter</w:t>
      </w:r>
      <w:r w:rsidR="00105D5D">
        <w:t xml:space="preserve"> (HRDC)</w:t>
      </w:r>
      <w:r w:rsidR="00653B75">
        <w:t xml:space="preserve"> challenged the failure </w:t>
      </w:r>
      <w:r w:rsidR="00BB0B4B">
        <w:t xml:space="preserve">of authorities in </w:t>
      </w:r>
      <w:r w:rsidR="00653B75">
        <w:t>the Tropoja district</w:t>
      </w:r>
      <w:r w:rsidR="00BB0B4B">
        <w:t xml:space="preserve"> to apply restraining orders. HRDC first completed a monitoring report on how courts and police fail to use the tool, whic</w:t>
      </w:r>
      <w:r w:rsidR="00D523F9">
        <w:t xml:space="preserve">h was followed by </w:t>
      </w:r>
      <w:r w:rsidR="00BB0B4B">
        <w:t xml:space="preserve">workshops with various authorities </w:t>
      </w:r>
      <w:r w:rsidR="00D523F9">
        <w:t xml:space="preserve">to discuss the law and its implementation. </w:t>
      </w:r>
      <w:r w:rsidR="00653B75">
        <w:t xml:space="preserve">In parallel, the group </w:t>
      </w:r>
      <w:r w:rsidR="00BB0B4B">
        <w:t>offered legal aid and representation t</w:t>
      </w:r>
      <w:r w:rsidR="00D523F9">
        <w:t xml:space="preserve">o victims. Eventually several restraining orders were issued and the follow-up monitoring documented </w:t>
      </w:r>
      <w:r w:rsidR="00653B75">
        <w:t>improvements in the work of the</w:t>
      </w:r>
      <w:r w:rsidR="00D523F9">
        <w:t xml:space="preserve"> authorities.</w:t>
      </w:r>
      <w:r w:rsidR="006936AB">
        <w:t xml:space="preserve"> </w:t>
      </w:r>
    </w:p>
    <w:p w:rsidR="007D4C13" w:rsidRDefault="006936AB" w:rsidP="00A04A61">
      <w:pPr>
        <w:jc w:val="both"/>
      </w:pPr>
      <w:r>
        <w:t>Many</w:t>
      </w:r>
      <w:r w:rsidR="00D523F9">
        <w:t xml:space="preserve"> groups achieved improvements in implementation </w:t>
      </w:r>
      <w:r w:rsidR="00A25092">
        <w:t>of the</w:t>
      </w:r>
      <w:r w:rsidR="009A584C">
        <w:t xml:space="preserve"> law </w:t>
      </w:r>
      <w:r w:rsidR="00D523F9">
        <w:t xml:space="preserve">by training </w:t>
      </w:r>
      <w:r w:rsidR="009A584C">
        <w:t xml:space="preserve">authorities and by </w:t>
      </w:r>
      <w:r w:rsidR="00D70811">
        <w:t>introducing</w:t>
      </w:r>
      <w:r w:rsidR="00D523F9">
        <w:t xml:space="preserve"> protocols for i</w:t>
      </w:r>
      <w:r w:rsidR="0050252D">
        <w:t>mplementation. For instance,</w:t>
      </w:r>
      <w:r w:rsidR="00D523F9">
        <w:t xml:space="preserve"> NaNE Association </w:t>
      </w:r>
      <w:r w:rsidR="00860F0D">
        <w:t xml:space="preserve">developed a strong working relationship with the Budapest police </w:t>
      </w:r>
      <w:r w:rsidR="00105D5D">
        <w:t>leadership</w:t>
      </w:r>
      <w:r w:rsidR="00CA26F1">
        <w:t xml:space="preserve"> and worked out a </w:t>
      </w:r>
      <w:r w:rsidR="00860F0D">
        <w:t>protocol for police work in domestic violence</w:t>
      </w:r>
      <w:r w:rsidR="00A25092">
        <w:t xml:space="preserve"> cases.</w:t>
      </w:r>
      <w:r w:rsidR="00105D5D">
        <w:t xml:space="preserve"> Beyond working with police, grantees in th</w:t>
      </w:r>
      <w:r w:rsidR="008F797B">
        <w:t>is portfolio also engaged local</w:t>
      </w:r>
      <w:r w:rsidR="005E2F14">
        <w:t xml:space="preserve"> </w:t>
      </w:r>
      <w:r w:rsidR="007D4C13">
        <w:t>prosecutors and judges</w:t>
      </w:r>
      <w:r w:rsidR="00653B75">
        <w:t>.</w:t>
      </w:r>
      <w:r w:rsidR="00105D5D">
        <w:t xml:space="preserve"> Sensitizing these authorities was often even more challenging than working with the police </w:t>
      </w:r>
      <w:r w:rsidR="00703280">
        <w:t>given</w:t>
      </w:r>
      <w:r w:rsidR="008F797B">
        <w:t xml:space="preserve"> their general</w:t>
      </w:r>
      <w:r w:rsidR="00D70811">
        <w:t xml:space="preserve"> reluctan</w:t>
      </w:r>
      <w:r w:rsidR="00D92D94">
        <w:t>ce</w:t>
      </w:r>
      <w:r w:rsidR="00D70811">
        <w:t xml:space="preserve"> to b</w:t>
      </w:r>
      <w:r w:rsidR="005E2F14">
        <w:t xml:space="preserve">e trained by </w:t>
      </w:r>
      <w:r w:rsidR="00F95FBC">
        <w:t>civil society</w:t>
      </w:r>
      <w:r w:rsidR="005E2F14">
        <w:t xml:space="preserve"> activists</w:t>
      </w:r>
      <w:r w:rsidR="00D92D94">
        <w:t>. When faced with resistance</w:t>
      </w:r>
      <w:r w:rsidR="005E2F14">
        <w:t xml:space="preserve"> groups responded</w:t>
      </w:r>
      <w:r w:rsidR="00D70811">
        <w:t xml:space="preserve"> </w:t>
      </w:r>
      <w:r w:rsidR="00D92D94">
        <w:t xml:space="preserve">by undertaking </w:t>
      </w:r>
      <w:r w:rsidR="005E2F14">
        <w:t xml:space="preserve"> court </w:t>
      </w:r>
      <w:r w:rsidR="00D70811">
        <w:t>monitoring projects</w:t>
      </w:r>
      <w:r w:rsidR="005E2F14">
        <w:t>, documenting problems in the</w:t>
      </w:r>
      <w:r w:rsidR="00D92D94">
        <w:t xml:space="preserve"> way</w:t>
      </w:r>
      <w:r w:rsidR="005E2F14">
        <w:t xml:space="preserve"> courts</w:t>
      </w:r>
      <w:r w:rsidR="00D92D94">
        <w:t xml:space="preserve"> handled domestic violence cases. These type</w:t>
      </w:r>
      <w:r w:rsidR="00F95FBC">
        <w:t>s</w:t>
      </w:r>
      <w:r w:rsidR="00D92D94">
        <w:t xml:space="preserve"> of projects in Bulgaria and Hungary have had a positive impact on the handling of domestic violence cases.</w:t>
      </w:r>
      <w:r w:rsidR="00D70811">
        <w:t xml:space="preserve"> </w:t>
      </w:r>
      <w:r w:rsidR="00653B75">
        <w:t xml:space="preserve">With the help of UN Women, </w:t>
      </w:r>
      <w:r w:rsidR="00D92D94">
        <w:t xml:space="preserve">our grantee </w:t>
      </w:r>
      <w:r w:rsidR="00653B75">
        <w:t>in Kazakhstan</w:t>
      </w:r>
      <w:r w:rsidR="007A7662">
        <w:t>, Podrugi</w:t>
      </w:r>
      <w:r w:rsidR="004A0E8C">
        <w:t>,</w:t>
      </w:r>
      <w:r w:rsidR="00653B75">
        <w:t xml:space="preserve"> </w:t>
      </w:r>
      <w:r w:rsidR="00CA26F1">
        <w:t xml:space="preserve">arranged </w:t>
      </w:r>
      <w:r w:rsidR="00860F0D">
        <w:t>a</w:t>
      </w:r>
      <w:r w:rsidR="00F95FBC">
        <w:t xml:space="preserve"> </w:t>
      </w:r>
      <w:r w:rsidR="00860F0D">
        <w:t>training for prosecutors</w:t>
      </w:r>
      <w:r w:rsidR="00D92D94">
        <w:t xml:space="preserve"> after it became clear that despite</w:t>
      </w:r>
      <w:r w:rsidR="00860F0D">
        <w:t xml:space="preserve"> the passage o</w:t>
      </w:r>
      <w:r w:rsidR="008F797B">
        <w:t>f domestic violence legislation</w:t>
      </w:r>
      <w:r w:rsidR="00860F0D">
        <w:t xml:space="preserve"> prosecutors </w:t>
      </w:r>
      <w:r w:rsidR="00D92D94">
        <w:t>were</w:t>
      </w:r>
      <w:r w:rsidR="00860F0D">
        <w:t xml:space="preserve"> reluctant to use the law</w:t>
      </w:r>
      <w:r w:rsidR="00D92D94">
        <w:t>. As a result of this training</w:t>
      </w:r>
      <w:r w:rsidR="00653B75">
        <w:t xml:space="preserve"> the group reported that the willingness of prosecutors to charge perpetrators using the law, has </w:t>
      </w:r>
      <w:r w:rsidR="00D92D94">
        <w:t>improved</w:t>
      </w:r>
      <w:r w:rsidR="00653B75">
        <w:t xml:space="preserve"> considerably</w:t>
      </w:r>
      <w:r w:rsidR="00860F0D">
        <w:t>.</w:t>
      </w:r>
      <w:r w:rsidR="00DA7D4C">
        <w:t xml:space="preserve"> </w:t>
      </w:r>
      <w:r w:rsidR="005E2F14">
        <w:t xml:space="preserve">In many countries </w:t>
      </w:r>
      <w:r w:rsidR="00D70811">
        <w:t xml:space="preserve">grantees worked with social service providers </w:t>
      </w:r>
      <w:r w:rsidR="00703280">
        <w:t>like child</w:t>
      </w:r>
      <w:r w:rsidR="00D70811">
        <w:t xml:space="preserve"> protection agencies</w:t>
      </w:r>
      <w:r w:rsidR="00F95FBC">
        <w:t xml:space="preserve"> and</w:t>
      </w:r>
      <w:r w:rsidR="005E2F14">
        <w:t xml:space="preserve"> </w:t>
      </w:r>
      <w:r w:rsidR="00D92D94">
        <w:t xml:space="preserve">with </w:t>
      </w:r>
      <w:r w:rsidR="005E2F14">
        <w:t>schools</w:t>
      </w:r>
      <w:r w:rsidR="00D70811">
        <w:t xml:space="preserve"> and health professionals</w:t>
      </w:r>
      <w:r w:rsidR="005E2F14">
        <w:t xml:space="preserve"> </w:t>
      </w:r>
      <w:r w:rsidR="008F797B">
        <w:t>to</w:t>
      </w:r>
      <w:r w:rsidR="005E2F14">
        <w:t xml:space="preserve"> improv</w:t>
      </w:r>
      <w:r w:rsidR="00D92D94">
        <w:t>e</w:t>
      </w:r>
      <w:r w:rsidR="005E2F14">
        <w:t xml:space="preserve"> their responses to domestic violence</w:t>
      </w:r>
      <w:r w:rsidR="00F95FBC">
        <w:t>. This included</w:t>
      </w:r>
      <w:r w:rsidR="00D70811">
        <w:t xml:space="preserve"> </w:t>
      </w:r>
      <w:r w:rsidR="005E2F14">
        <w:t>engag</w:t>
      </w:r>
      <w:r w:rsidR="00F95FBC">
        <w:t>ing</w:t>
      </w:r>
      <w:r w:rsidR="005E2F14">
        <w:t xml:space="preserve"> the</w:t>
      </w:r>
      <w:r w:rsidR="00D92D94">
        <w:t>se key stakeholders in</w:t>
      </w:r>
      <w:r w:rsidR="008F797B">
        <w:t xml:space="preserve"> reporting cases of domestic violence, in supporting victims, as well as in</w:t>
      </w:r>
      <w:r w:rsidR="005E2F14">
        <w:t xml:space="preserve"> prevention</w:t>
      </w:r>
      <w:r w:rsidR="00D92D94">
        <w:t xml:space="preserve"> efforts</w:t>
      </w:r>
      <w:r w:rsidR="005E2F14">
        <w:t>.</w:t>
      </w:r>
      <w:r w:rsidR="00C10463">
        <w:t xml:space="preserve"> </w:t>
      </w:r>
      <w:r w:rsidR="005B6246">
        <w:t xml:space="preserve">Furthermore, </w:t>
      </w:r>
      <w:r w:rsidR="00C10463">
        <w:t>HRI grantees in some cases managed to</w:t>
      </w:r>
      <w:r>
        <w:t xml:space="preserve"> improve coordination</w:t>
      </w:r>
      <w:r w:rsidR="00D92D94">
        <w:t xml:space="preserve"> </w:t>
      </w:r>
      <w:r>
        <w:t>among</w:t>
      </w:r>
      <w:r w:rsidR="00C10463">
        <w:t xml:space="preserve"> various au</w:t>
      </w:r>
      <w:r w:rsidR="005B6246">
        <w:t xml:space="preserve">thorities </w:t>
      </w:r>
      <w:r>
        <w:t xml:space="preserve">by introducing </w:t>
      </w:r>
      <w:r w:rsidR="00A25092">
        <w:t>models for regular consultation and reflection</w:t>
      </w:r>
      <w:r w:rsidR="00C10463">
        <w:t xml:space="preserve"> to</w:t>
      </w:r>
      <w:r w:rsidR="00D92D94">
        <w:t xml:space="preserve"> improve the system’s overall</w:t>
      </w:r>
      <w:r w:rsidR="00C10463">
        <w:t xml:space="preserve"> respon</w:t>
      </w:r>
      <w:r w:rsidR="00D92D94">
        <w:t>se</w:t>
      </w:r>
      <w:r w:rsidR="00C10463">
        <w:t xml:space="preserve"> to domestic violence</w:t>
      </w:r>
      <w:r w:rsidR="00D92D94">
        <w:t>. Examples of countri</w:t>
      </w:r>
      <w:r w:rsidR="00A25092">
        <w:t>es where this type of coordinated</w:t>
      </w:r>
      <w:r w:rsidR="00D92D94">
        <w:t xml:space="preserve"> approach has been successfully initiated by our grantees </w:t>
      </w:r>
      <w:r w:rsidR="00703280">
        <w:t>includ</w:t>
      </w:r>
      <w:r w:rsidR="00EE5D5A">
        <w:t>e</w:t>
      </w:r>
      <w:r w:rsidR="00C10463">
        <w:t xml:space="preserve"> Albania, Bulgaria, Poland and Kazakhstan.</w:t>
      </w:r>
    </w:p>
    <w:p w:rsidR="009A584C" w:rsidRDefault="009A584C" w:rsidP="00A04A61">
      <w:pPr>
        <w:jc w:val="both"/>
      </w:pPr>
      <w:r>
        <w:t>As a result of the monitoring and advocacy work by HRI grantees, several countries have improved their initially weak laws and policies on domestic violence including Ukraine, Bulgaria, Hungary, Latvia and Romania.</w:t>
      </w:r>
      <w:r w:rsidR="00DB6589">
        <w:t xml:space="preserve"> For instance, in Ukraine</w:t>
      </w:r>
      <w:r w:rsidR="00F95FBC">
        <w:t>,</w:t>
      </w:r>
      <w:r w:rsidR="00DB6589">
        <w:t xml:space="preserve"> references to the victim’s “provocative behavior” were removed from the law following </w:t>
      </w:r>
      <w:r w:rsidR="00F95FBC">
        <w:t xml:space="preserve">the </w:t>
      </w:r>
      <w:r w:rsidR="00DB6589">
        <w:t>advocacy work of HRI grantee Western Ukrainian Women’s</w:t>
      </w:r>
      <w:r w:rsidR="00DC5EDF">
        <w:t xml:space="preserve"> </w:t>
      </w:r>
      <w:r w:rsidR="00DB6589">
        <w:t>Center Perspectiva</w:t>
      </w:r>
      <w:r w:rsidR="00F95FBC">
        <w:t>.</w:t>
      </w:r>
      <w:r w:rsidR="00DB6589">
        <w:t xml:space="preserve"> </w:t>
      </w:r>
      <w:r w:rsidR="00F95FBC">
        <w:t xml:space="preserve">Also, </w:t>
      </w:r>
      <w:r w:rsidR="00DC5EDF">
        <w:t xml:space="preserve">Latvia and Hungary have </w:t>
      </w:r>
      <w:r w:rsidR="00F95FBC">
        <w:t xml:space="preserve">recently </w:t>
      </w:r>
      <w:r w:rsidR="00DC5EDF">
        <w:t>introduced restraining orders</w:t>
      </w:r>
      <w:r w:rsidR="00DB6589">
        <w:t xml:space="preserve"> </w:t>
      </w:r>
      <w:r w:rsidR="00DC5EDF">
        <w:t xml:space="preserve">largely due to the pressure that </w:t>
      </w:r>
      <w:r w:rsidR="00F95FBC">
        <w:t xml:space="preserve">the </w:t>
      </w:r>
      <w:r w:rsidR="00DC5EDF">
        <w:t>women’s</w:t>
      </w:r>
      <w:r w:rsidR="00F95FBC">
        <w:t xml:space="preserve"> rights</w:t>
      </w:r>
      <w:r w:rsidR="00DC5EDF">
        <w:t xml:space="preserve"> groups Marta Center and NaNE Association have exercised </w:t>
      </w:r>
      <w:r w:rsidR="00F95FBC">
        <w:t>through their production of</w:t>
      </w:r>
      <w:r w:rsidR="00DC5EDF">
        <w:t xml:space="preserve"> various monitoring reports, litigation work and public mobilizing efforts.</w:t>
      </w:r>
    </w:p>
    <w:p w:rsidR="00550F62" w:rsidRDefault="00DA7D4C" w:rsidP="00A04A61">
      <w:pPr>
        <w:jc w:val="both"/>
      </w:pPr>
      <w:r>
        <w:t>Furthermore, s</w:t>
      </w:r>
      <w:r w:rsidR="00BE0898">
        <w:t>ome progress on state funding for services</w:t>
      </w:r>
      <w:r w:rsidR="004F15A2">
        <w:t xml:space="preserve"> has been achieved </w:t>
      </w:r>
      <w:r w:rsidR="00BE0898">
        <w:t>due to</w:t>
      </w:r>
      <w:r w:rsidR="00D92D94">
        <w:t xml:space="preserve"> the</w:t>
      </w:r>
      <w:r w:rsidR="00BE0898">
        <w:t xml:space="preserve"> strong advoca</w:t>
      </w:r>
      <w:r w:rsidR="00996973">
        <w:t>cy work of HRI grantees</w:t>
      </w:r>
      <w:r w:rsidR="00BE0898">
        <w:t>.</w:t>
      </w:r>
      <w:r w:rsidR="00996973">
        <w:t xml:space="preserve"> </w:t>
      </w:r>
      <w:r w:rsidR="004F15A2">
        <w:t xml:space="preserve">For example, two HRI grantees in Bulgaria </w:t>
      </w:r>
      <w:r w:rsidR="00A04A61">
        <w:t xml:space="preserve">managed to </w:t>
      </w:r>
      <w:r w:rsidR="008F797B">
        <w:t>get</w:t>
      </w:r>
      <w:r w:rsidR="00A04A61">
        <w:t xml:space="preserve"> a budget line </w:t>
      </w:r>
      <w:r w:rsidR="00C24601">
        <w:t xml:space="preserve">introduced </w:t>
      </w:r>
      <w:r w:rsidR="00A04A61">
        <w:t>into the law for the first time in the region</w:t>
      </w:r>
      <w:r w:rsidR="00C24601">
        <w:t xml:space="preserve"> to cover domestic violence services</w:t>
      </w:r>
      <w:r w:rsidR="00A04A61">
        <w:t>. W</w:t>
      </w:r>
      <w:r w:rsidR="004F15A2">
        <w:t xml:space="preserve">omen’s Rights Center Poland </w:t>
      </w:r>
      <w:r w:rsidR="00A04A61">
        <w:t>managed to ensure that a significant portion of its service provision work is funded by local governments in Warsaw, Wroclaw</w:t>
      </w:r>
      <w:r w:rsidR="00653B75">
        <w:t>,</w:t>
      </w:r>
      <w:r w:rsidR="00A04A61">
        <w:t xml:space="preserve"> and Gdansk</w:t>
      </w:r>
      <w:r w:rsidR="008F797B">
        <w:t>.</w:t>
      </w:r>
      <w:r w:rsidR="004F15A2">
        <w:t xml:space="preserve"> T</w:t>
      </w:r>
      <w:r w:rsidR="00737FCA">
        <w:t xml:space="preserve">he Georgian government has </w:t>
      </w:r>
      <w:r w:rsidR="004F15A2">
        <w:t>approved budget provisions for domestic violence albeit was not able to fully implement th</w:t>
      </w:r>
      <w:r w:rsidR="00EE5D5A">
        <w:t>e</w:t>
      </w:r>
      <w:r w:rsidR="004F15A2">
        <w:t>se</w:t>
      </w:r>
      <w:r w:rsidR="00737FCA">
        <w:t xml:space="preserve"> due to the financial crisis</w:t>
      </w:r>
      <w:r w:rsidR="004F15A2">
        <w:t xml:space="preserve">. </w:t>
      </w:r>
      <w:r w:rsidR="00737FCA">
        <w:t>Under pressure from women’s rights groups a</w:t>
      </w:r>
      <w:r w:rsidR="008F797B">
        <w:t>nd international organizations,</w:t>
      </w:r>
      <w:r w:rsidR="004C2EA5">
        <w:t xml:space="preserve"> a number of </w:t>
      </w:r>
      <w:r w:rsidR="00703280">
        <w:t>countries in</w:t>
      </w:r>
      <w:r w:rsidR="00C24601">
        <w:t xml:space="preserve"> the region have </w:t>
      </w:r>
      <w:r w:rsidR="004C2EA5">
        <w:t xml:space="preserve">opened up </w:t>
      </w:r>
      <w:r w:rsidR="007E6186">
        <w:t xml:space="preserve">state-funded hotlines, </w:t>
      </w:r>
      <w:r w:rsidR="004C2EA5">
        <w:t>shelters or crisis centers for victims</w:t>
      </w:r>
      <w:r w:rsidR="00C24601">
        <w:t>. This ha</w:t>
      </w:r>
      <w:r w:rsidR="007E6186">
        <w:t>s been an important achievement</w:t>
      </w:r>
      <w:r w:rsidR="004C2EA5">
        <w:t xml:space="preserve"> even if the number of available places</w:t>
      </w:r>
      <w:r w:rsidR="007E6186">
        <w:t xml:space="preserve"> in shelters</w:t>
      </w:r>
      <w:r w:rsidR="004C2EA5">
        <w:t xml:space="preserve"> remains </w:t>
      </w:r>
      <w:r w:rsidR="008F797B">
        <w:t>too small</w:t>
      </w:r>
      <w:r w:rsidR="004C2EA5">
        <w:t xml:space="preserve"> </w:t>
      </w:r>
      <w:r w:rsidR="00C24601">
        <w:t>and only addresses a fraction of the overall need.</w:t>
      </w:r>
      <w:r w:rsidR="007D4C13">
        <w:t xml:space="preserve"> </w:t>
      </w:r>
      <w:r w:rsidR="00737FCA">
        <w:t xml:space="preserve">  </w:t>
      </w:r>
    </w:p>
    <w:p w:rsidR="00A512E2" w:rsidRPr="004C648F" w:rsidRDefault="00A512E2" w:rsidP="00A04A61">
      <w:pPr>
        <w:jc w:val="both"/>
        <w:rPr>
          <w:i/>
        </w:rPr>
      </w:pPr>
      <w:r w:rsidRPr="004C648F">
        <w:rPr>
          <w:i/>
        </w:rPr>
        <w:t>Sta</w:t>
      </w:r>
      <w:r w:rsidR="0095115C">
        <w:rPr>
          <w:i/>
        </w:rPr>
        <w:t>ndard-setting cases at the ECt</w:t>
      </w:r>
      <w:r w:rsidRPr="004C648F">
        <w:rPr>
          <w:i/>
        </w:rPr>
        <w:t>HR and elsewhere</w:t>
      </w:r>
    </w:p>
    <w:p w:rsidR="00550F62" w:rsidRDefault="0095115C" w:rsidP="00A04A61">
      <w:pPr>
        <w:jc w:val="both"/>
      </w:pPr>
      <w:r>
        <w:t>At the ECt</w:t>
      </w:r>
      <w:r w:rsidR="00A512E2">
        <w:t>HR</w:t>
      </w:r>
      <w:r w:rsidR="00124BD3">
        <w:t xml:space="preserve"> there is now a significant </w:t>
      </w:r>
      <w:r w:rsidR="00A21946">
        <w:t xml:space="preserve">caseload on </w:t>
      </w:r>
      <w:r w:rsidR="00DF14C1">
        <w:t>domestic violence, including</w:t>
      </w:r>
      <w:r w:rsidR="00124BD3">
        <w:t xml:space="preserve"> several groundbreaking victories that </w:t>
      </w:r>
      <w:r w:rsidR="00DF14C1">
        <w:t xml:space="preserve">were </w:t>
      </w:r>
      <w:r w:rsidR="00EE5D5A">
        <w:t>achieved</w:t>
      </w:r>
      <w:r w:rsidR="00DF14C1">
        <w:t xml:space="preserve"> by HRI grantees. For instance, </w:t>
      </w:r>
      <w:r w:rsidR="00791D1A">
        <w:t>the Bulga</w:t>
      </w:r>
      <w:r w:rsidR="00ED2627">
        <w:t>rian Gender Research Foundation</w:t>
      </w:r>
      <w:r w:rsidR="00791D1A">
        <w:t xml:space="preserve"> secured the first victory </w:t>
      </w:r>
      <w:r w:rsidR="00E74984">
        <w:t>from</w:t>
      </w:r>
      <w:r w:rsidR="00791D1A">
        <w:t xml:space="preserve"> Eastern Eu</w:t>
      </w:r>
      <w:r>
        <w:t xml:space="preserve">rope in 2008 in </w:t>
      </w:r>
      <w:r w:rsidRPr="00066150">
        <w:rPr>
          <w:i/>
        </w:rPr>
        <w:t>Bevacqua and S. v</w:t>
      </w:r>
      <w:r w:rsidR="00791D1A" w:rsidRPr="00066150">
        <w:rPr>
          <w:i/>
        </w:rPr>
        <w:t>. Bulgaria</w:t>
      </w:r>
      <w:r w:rsidR="00791D1A">
        <w:t>, in which the Court described domestic violence as a public matter. A year later</w:t>
      </w:r>
      <w:r w:rsidR="00C81C9D">
        <w:t>,</w:t>
      </w:r>
      <w:r w:rsidR="00791D1A">
        <w:t xml:space="preserve"> </w:t>
      </w:r>
      <w:r w:rsidR="00DF14C1">
        <w:t>Andrea Coomber, an Interights lawyer, through a third-party intervention con</w:t>
      </w:r>
      <w:r w:rsidR="00066150">
        <w:t xml:space="preserve">tributed to the case </w:t>
      </w:r>
      <w:r w:rsidR="00066150" w:rsidRPr="00066150">
        <w:rPr>
          <w:i/>
        </w:rPr>
        <w:t>Opuz v.</w:t>
      </w:r>
      <w:r w:rsidR="00DF14C1" w:rsidRPr="00066150">
        <w:rPr>
          <w:i/>
        </w:rPr>
        <w:t xml:space="preserve"> Turkey</w:t>
      </w:r>
      <w:r w:rsidR="00DF14C1">
        <w:t xml:space="preserve"> in which </w:t>
      </w:r>
      <w:r w:rsidR="00066150">
        <w:t xml:space="preserve">the Court </w:t>
      </w:r>
      <w:r w:rsidR="00DF14C1">
        <w:t xml:space="preserve">for the first time </w:t>
      </w:r>
      <w:r w:rsidR="002A08AD">
        <w:t xml:space="preserve">outlined </w:t>
      </w:r>
      <w:r w:rsidR="00DF14C1">
        <w:t xml:space="preserve">the state’s </w:t>
      </w:r>
      <w:r w:rsidR="002A08AD">
        <w:t xml:space="preserve">positive </w:t>
      </w:r>
      <w:r w:rsidR="00DF14C1">
        <w:t>obligations regarding the protection of victims of domestic violence</w:t>
      </w:r>
      <w:r w:rsidR="00066150">
        <w:t xml:space="preserve"> </w:t>
      </w:r>
      <w:r w:rsidR="00E97471">
        <w:t>and argued that domestic violence is a manife</w:t>
      </w:r>
      <w:r w:rsidR="00A21946">
        <w:t>station of gender-based discrimination</w:t>
      </w:r>
      <w:r w:rsidR="00066150">
        <w:t>. T</w:t>
      </w:r>
      <w:r w:rsidR="00C81C9D">
        <w:t>oday t</w:t>
      </w:r>
      <w:r w:rsidR="00066150">
        <w:t xml:space="preserve">his case </w:t>
      </w:r>
      <w:r w:rsidR="00A21946">
        <w:t xml:space="preserve">is being referenced </w:t>
      </w:r>
      <w:r w:rsidR="00791D1A">
        <w:t>across Europe</w:t>
      </w:r>
      <w:r w:rsidR="00585358">
        <w:t xml:space="preserve"> in domestic </w:t>
      </w:r>
      <w:r w:rsidR="00ED2627">
        <w:t xml:space="preserve">violence </w:t>
      </w:r>
      <w:r w:rsidR="00585358">
        <w:t>cases</w:t>
      </w:r>
      <w:r w:rsidR="00DF14C1">
        <w:t xml:space="preserve">. </w:t>
      </w:r>
      <w:r w:rsidR="00E97471">
        <w:t>Other grantees from</w:t>
      </w:r>
      <w:r w:rsidR="00791D1A">
        <w:t xml:space="preserve"> Russia, Lithuania, Moldova, Croatia, Slovakia and Hungary have also secured victories in cases at </w:t>
      </w:r>
      <w:r w:rsidR="00066150">
        <w:t xml:space="preserve">the </w:t>
      </w:r>
      <w:r w:rsidR="00791D1A">
        <w:t>ECtHR</w:t>
      </w:r>
      <w:r w:rsidR="00E74984">
        <w:t>. Some grantees were able to build up momentum for change based on the</w:t>
      </w:r>
      <w:r w:rsidR="00585358">
        <w:t>se</w:t>
      </w:r>
      <w:r w:rsidR="00E74984">
        <w:t xml:space="preserve"> victories</w:t>
      </w:r>
      <w:r w:rsidR="00585358">
        <w:t xml:space="preserve">. For </w:t>
      </w:r>
      <w:r w:rsidR="00ED2627">
        <w:t xml:space="preserve">instance, </w:t>
      </w:r>
      <w:r w:rsidR="00C81C9D">
        <w:t xml:space="preserve">in </w:t>
      </w:r>
      <w:r w:rsidR="00585358">
        <w:t xml:space="preserve">Bulgaria </w:t>
      </w:r>
      <w:r w:rsidR="00ED2627">
        <w:t xml:space="preserve">our grantees </w:t>
      </w:r>
      <w:r w:rsidR="00E74984">
        <w:t xml:space="preserve">used </w:t>
      </w:r>
      <w:r w:rsidR="00ED2627">
        <w:t>ECtHR</w:t>
      </w:r>
      <w:r w:rsidR="00F25373">
        <w:t xml:space="preserve"> decisions</w:t>
      </w:r>
      <w:r w:rsidR="00ED2627">
        <w:t xml:space="preserve"> </w:t>
      </w:r>
      <w:r w:rsidR="00E74984">
        <w:t>effectively in</w:t>
      </w:r>
      <w:r w:rsidR="00EE5D5A">
        <w:t xml:space="preserve"> </w:t>
      </w:r>
      <w:r w:rsidR="00570F2F">
        <w:t>their</w:t>
      </w:r>
      <w:r w:rsidR="00E74984">
        <w:t xml:space="preserve"> advocacy</w:t>
      </w:r>
      <w:r w:rsidR="00ED2627">
        <w:t xml:space="preserve"> efforts to improve the domestic violence law.</w:t>
      </w:r>
      <w:r w:rsidR="00523CE2">
        <w:t xml:space="preserve"> Other </w:t>
      </w:r>
      <w:r w:rsidR="00585358">
        <w:t xml:space="preserve">regional and international advocacy </w:t>
      </w:r>
      <w:r w:rsidR="00523CE2">
        <w:t xml:space="preserve">avenues used by HRI grantees </w:t>
      </w:r>
      <w:r w:rsidR="00585358">
        <w:t xml:space="preserve">to pressure their governments </w:t>
      </w:r>
      <w:r w:rsidR="00523CE2">
        <w:t>included the European Social Charter, the European Court of Justice</w:t>
      </w:r>
      <w:r w:rsidR="00066150">
        <w:t xml:space="preserve">, </w:t>
      </w:r>
      <w:r w:rsidR="00523CE2">
        <w:t>the Optional Protocol</w:t>
      </w:r>
      <w:r w:rsidR="00066150">
        <w:t xml:space="preserve"> under CEDAW, and the </w:t>
      </w:r>
      <w:r w:rsidR="00523CE2">
        <w:t xml:space="preserve">special inquiry procedure under CEDAW. For instance, </w:t>
      </w:r>
      <w:r w:rsidR="002A6D96">
        <w:t xml:space="preserve">we have been confidentially informed that </w:t>
      </w:r>
      <w:r w:rsidR="00523CE2">
        <w:t>Open Line from Kyrgyzstan has launched a special inquiry procedure</w:t>
      </w:r>
      <w:r w:rsidR="00ED2627">
        <w:t xml:space="preserve"> under CEDAW</w:t>
      </w:r>
      <w:r w:rsidR="00523CE2">
        <w:t xml:space="preserve"> against Kyrgyzstan for its systemic failure to stop</w:t>
      </w:r>
      <w:r w:rsidR="00A512E2">
        <w:t xml:space="preserve"> bride kidnapping</w:t>
      </w:r>
      <w:r w:rsidR="004064A2">
        <w:t>.</w:t>
      </w:r>
      <w:r w:rsidR="007A7662">
        <w:t xml:space="preserve"> </w:t>
      </w:r>
    </w:p>
    <w:p w:rsidR="004602A4" w:rsidRPr="00366573" w:rsidRDefault="004602A4" w:rsidP="00A04A61">
      <w:pPr>
        <w:jc w:val="both"/>
        <w:rPr>
          <w:i/>
        </w:rPr>
      </w:pPr>
      <w:r w:rsidRPr="00366573">
        <w:rPr>
          <w:i/>
        </w:rPr>
        <w:t>Growing public awareness about domestic violence</w:t>
      </w:r>
    </w:p>
    <w:p w:rsidR="004602A4" w:rsidRPr="00A04A61" w:rsidRDefault="004602A4" w:rsidP="00A04A61">
      <w:pPr>
        <w:jc w:val="both"/>
      </w:pPr>
      <w:r w:rsidRPr="00366573">
        <w:t>Our funding has strengthened the voice of small women’s rights groups. When breakthroughs have taken place in public awareness regarding domestic violence, the impact of women’s rights groups</w:t>
      </w:r>
      <w:r w:rsidR="00F25373" w:rsidRPr="00366573">
        <w:t xml:space="preserve"> has often been clear</w:t>
      </w:r>
      <w:r w:rsidRPr="00366573">
        <w:t xml:space="preserve">. For instance, over the past two years in Hungary there is a visible shift in the public response to violence against women. A number of scandals evoked very strong media coverage and strong public disapproval, e.g. an MP brutally beat his wife and fabricated a story about how she fell over their blind dog hurting herself. The public response was so overwhelming that – although he did not resign – he left his party’s parliamentary group. Ten years ago NaNE would have been the only voice expressing concerns over an elected politician beating his wife. </w:t>
      </w:r>
      <w:r w:rsidR="00F25373" w:rsidRPr="00366573">
        <w:t>While in this case</w:t>
      </w:r>
      <w:r w:rsidRPr="00366573">
        <w:t xml:space="preserve"> NaNE Association wrote the first statements, many people not associated with the women’s movement expressed very strong disapproval. NaNE’s work over the past decade to sensitize journalists – who until recently termed domestic violence murders as “love-overpr</w:t>
      </w:r>
      <w:r w:rsidR="008C3878" w:rsidRPr="00366573">
        <w:t xml:space="preserve">otection” </w:t>
      </w:r>
      <w:r w:rsidRPr="00366573">
        <w:t xml:space="preserve">apologetically – contributed to </w:t>
      </w:r>
      <w:r w:rsidR="008C3878" w:rsidRPr="00366573">
        <w:t xml:space="preserve">these </w:t>
      </w:r>
      <w:r w:rsidRPr="00366573">
        <w:t>changes.</w:t>
      </w:r>
      <w:r w:rsidR="008C3878" w:rsidRPr="00366573">
        <w:t xml:space="preserve"> Similar progress</w:t>
      </w:r>
      <w:r w:rsidRPr="00366573">
        <w:t xml:space="preserve"> in media coverage and public response to domestic violence took place in several countries. Most of our grants covered modest communications work </w:t>
      </w:r>
      <w:r w:rsidR="008C3878" w:rsidRPr="00366573">
        <w:t>and contributed to these shifts</w:t>
      </w:r>
      <w:r w:rsidRPr="00366573">
        <w:t>.</w:t>
      </w:r>
    </w:p>
    <w:p w:rsidR="0045251D" w:rsidRDefault="006A51C1">
      <w:pPr>
        <w:rPr>
          <w:b/>
        </w:rPr>
      </w:pPr>
      <w:r>
        <w:rPr>
          <w:b/>
        </w:rPr>
        <w:t xml:space="preserve">Failures, </w:t>
      </w:r>
      <w:r w:rsidR="0045251D" w:rsidRPr="00F24A94">
        <w:rPr>
          <w:b/>
        </w:rPr>
        <w:t>disappointments</w:t>
      </w:r>
      <w:r>
        <w:rPr>
          <w:b/>
        </w:rPr>
        <w:t xml:space="preserve"> and lessons learned </w:t>
      </w:r>
    </w:p>
    <w:p w:rsidR="00E968A4" w:rsidRPr="004C648F" w:rsidRDefault="00E968A4" w:rsidP="00BE1DCD">
      <w:pPr>
        <w:jc w:val="both"/>
        <w:rPr>
          <w:i/>
        </w:rPr>
      </w:pPr>
      <w:r w:rsidRPr="004C648F">
        <w:rPr>
          <w:i/>
        </w:rPr>
        <w:t>Insufficient progress in countries w</w:t>
      </w:r>
      <w:r w:rsidR="00585358">
        <w:rPr>
          <w:i/>
        </w:rPr>
        <w:t xml:space="preserve">here there was a </w:t>
      </w:r>
      <w:r w:rsidRPr="004C648F">
        <w:rPr>
          <w:i/>
        </w:rPr>
        <w:t>strong backlash</w:t>
      </w:r>
      <w:r w:rsidR="00124129">
        <w:rPr>
          <w:i/>
        </w:rPr>
        <w:t xml:space="preserve"> </w:t>
      </w:r>
      <w:r w:rsidR="00266821">
        <w:rPr>
          <w:i/>
        </w:rPr>
        <w:t xml:space="preserve">and </w:t>
      </w:r>
      <w:r w:rsidR="00DE7C0E">
        <w:rPr>
          <w:i/>
        </w:rPr>
        <w:t xml:space="preserve">where </w:t>
      </w:r>
      <w:r w:rsidR="008C6C8B">
        <w:rPr>
          <w:i/>
        </w:rPr>
        <w:t xml:space="preserve">awareness-raising and </w:t>
      </w:r>
      <w:r w:rsidR="00124129">
        <w:rPr>
          <w:i/>
        </w:rPr>
        <w:t>capacity-building needs were</w:t>
      </w:r>
      <w:r w:rsidR="006F26CD">
        <w:rPr>
          <w:i/>
        </w:rPr>
        <w:t xml:space="preserve"> greater</w:t>
      </w:r>
    </w:p>
    <w:p w:rsidR="00277AD9" w:rsidRDefault="00703280" w:rsidP="00BE1DCD">
      <w:pPr>
        <w:jc w:val="both"/>
      </w:pPr>
      <w:r>
        <w:t>Our strategy</w:t>
      </w:r>
      <w:r w:rsidR="00585358">
        <w:t xml:space="preserve"> in implementing this portfolio</w:t>
      </w:r>
      <w:r w:rsidR="004064A2">
        <w:t xml:space="preserve"> </w:t>
      </w:r>
      <w:r w:rsidR="00585358">
        <w:t xml:space="preserve">was </w:t>
      </w:r>
      <w:r w:rsidR="004064A2">
        <w:t xml:space="preserve">built on the </w:t>
      </w:r>
      <w:r>
        <w:t>similarities we</w:t>
      </w:r>
      <w:r w:rsidR="00585358">
        <w:t xml:space="preserve"> saw across the </w:t>
      </w:r>
      <w:r w:rsidR="009F68E3">
        <w:t xml:space="preserve">large post-socialist </w:t>
      </w:r>
      <w:r w:rsidR="00585358">
        <w:t>region. These i</w:t>
      </w:r>
      <w:r w:rsidR="00E0623E">
        <w:t>ncluded a</w:t>
      </w:r>
      <w:r w:rsidR="0099152A">
        <w:t xml:space="preserve"> </w:t>
      </w:r>
      <w:r w:rsidR="00C462B8">
        <w:t xml:space="preserve">generally favorable </w:t>
      </w:r>
      <w:r w:rsidR="0099152A">
        <w:t>context</w:t>
      </w:r>
      <w:r w:rsidR="00C462B8">
        <w:t xml:space="preserve"> for domestic violence</w:t>
      </w:r>
      <w:r w:rsidR="00585358">
        <w:t xml:space="preserve"> related</w:t>
      </w:r>
      <w:r w:rsidR="00C462B8">
        <w:t xml:space="preserve"> legal reform</w:t>
      </w:r>
      <w:r w:rsidR="0099152A">
        <w:t xml:space="preserve"> and</w:t>
      </w:r>
      <w:r w:rsidR="00585358">
        <w:t xml:space="preserve"> the</w:t>
      </w:r>
      <w:r w:rsidR="0099152A">
        <w:t xml:space="preserve"> </w:t>
      </w:r>
      <w:r w:rsidR="00585358">
        <w:t>similar</w:t>
      </w:r>
      <w:r w:rsidR="004064A2">
        <w:t xml:space="preserve"> </w:t>
      </w:r>
      <w:r w:rsidR="00585358">
        <w:t xml:space="preserve">set of </w:t>
      </w:r>
      <w:r w:rsidR="004064A2">
        <w:t xml:space="preserve">needs </w:t>
      </w:r>
      <w:r w:rsidR="00585358">
        <w:t xml:space="preserve">in terms of skills development that we saw </w:t>
      </w:r>
      <w:r>
        <w:t xml:space="preserve">among </w:t>
      </w:r>
      <w:r w:rsidR="009F68E3">
        <w:t>women’s rights groups</w:t>
      </w:r>
      <w:r w:rsidR="00585358">
        <w:t>.</w:t>
      </w:r>
      <w:r w:rsidR="004064A2">
        <w:t xml:space="preserve">  </w:t>
      </w:r>
      <w:r w:rsidR="00C077BF">
        <w:t>W</w:t>
      </w:r>
      <w:r w:rsidR="000623F4">
        <w:t>hile our strategy</w:t>
      </w:r>
      <w:r w:rsidR="009F68E3">
        <w:t xml:space="preserve"> was effectiv</w:t>
      </w:r>
      <w:r w:rsidR="000623F4">
        <w:t xml:space="preserve">e in bringing about </w:t>
      </w:r>
      <w:r w:rsidR="009F68E3">
        <w:t xml:space="preserve">changes in implementation in countries </w:t>
      </w:r>
      <w:r w:rsidR="00C077BF">
        <w:t xml:space="preserve">where the </w:t>
      </w:r>
      <w:r w:rsidR="009F68E3">
        <w:t xml:space="preserve">generally </w:t>
      </w:r>
      <w:r w:rsidR="00C077BF">
        <w:t>favorable politi</w:t>
      </w:r>
      <w:r w:rsidR="005E0AD7">
        <w:t xml:space="preserve">cal climate lasted for </w:t>
      </w:r>
      <w:r w:rsidR="00C077BF">
        <w:t>10-15</w:t>
      </w:r>
      <w:r w:rsidR="000623F4">
        <w:t xml:space="preserve"> years, it has been less effective</w:t>
      </w:r>
      <w:r w:rsidR="00C077BF">
        <w:t xml:space="preserve"> in countries with shorter windows of opportunity or</w:t>
      </w:r>
      <w:r w:rsidR="00C81C9D">
        <w:t xml:space="preserve"> where there was a</w:t>
      </w:r>
      <w:r w:rsidR="00C077BF">
        <w:t xml:space="preserve"> stronger backlash. </w:t>
      </w:r>
      <w:r w:rsidR="009F68E3">
        <w:t>In particular, in Russia, Armenia, Azerbaijan and parts of Central Asia</w:t>
      </w:r>
      <w:r w:rsidR="00C81C9D">
        <w:t>,</w:t>
      </w:r>
      <w:r w:rsidR="000623F4">
        <w:t xml:space="preserve"> progress has</w:t>
      </w:r>
      <w:r w:rsidR="008C6C8B">
        <w:t xml:space="preserve"> been</w:t>
      </w:r>
      <w:r w:rsidR="000623F4">
        <w:t xml:space="preserve"> slow, even though NGOs did manage to put domestic violence on the public agenda and initial policies and laws have been introduced in several of these countries.</w:t>
      </w:r>
      <w:r w:rsidR="009F68E3">
        <w:t xml:space="preserve"> </w:t>
      </w:r>
      <w:r w:rsidR="00924ABE">
        <w:t>While the key reasons for the</w:t>
      </w:r>
      <w:r w:rsidR="00277AD9">
        <w:t xml:space="preserve"> slow progress are primar</w:t>
      </w:r>
      <w:r w:rsidR="00FF2A91">
        <w:t>ily social and political</w:t>
      </w:r>
      <w:r w:rsidR="00277AD9">
        <w:t xml:space="preserve">, our grant-making </w:t>
      </w:r>
      <w:r w:rsidR="00C81C9D">
        <w:t>approach</w:t>
      </w:r>
      <w:r w:rsidR="00FF2A91">
        <w:t xml:space="preserve"> should</w:t>
      </w:r>
      <w:r w:rsidR="00277AD9">
        <w:t xml:space="preserve"> be examined</w:t>
      </w:r>
      <w:r w:rsidR="00FF2A91">
        <w:t xml:space="preserve"> </w:t>
      </w:r>
      <w:r w:rsidR="00277AD9">
        <w:t>to understand what we could have done differently.</w:t>
      </w:r>
    </w:p>
    <w:p w:rsidR="00924ABE" w:rsidRDefault="00277AD9" w:rsidP="00FC523E">
      <w:pPr>
        <w:jc w:val="both"/>
      </w:pPr>
      <w:r>
        <w:t xml:space="preserve">Firstly, it </w:t>
      </w:r>
      <w:r w:rsidR="000A671C">
        <w:t>took</w:t>
      </w:r>
      <w:r>
        <w:t xml:space="preserve"> us longer to identify grantees in these countries than in other parts of the re</w:t>
      </w:r>
      <w:r w:rsidR="00E05366">
        <w:t>gion</w:t>
      </w:r>
      <w:r w:rsidR="000A671C">
        <w:t xml:space="preserve"> which gave us less time to support their capacity development</w:t>
      </w:r>
      <w:r w:rsidR="00E05366">
        <w:t>. Between 2007 and 2009 the bulk</w:t>
      </w:r>
      <w:r>
        <w:t xml:space="preserve"> of HRI’s g</w:t>
      </w:r>
      <w:r w:rsidR="00E05366">
        <w:t xml:space="preserve">rant-making took place in </w:t>
      </w:r>
      <w:r>
        <w:t>countries where women’</w:t>
      </w:r>
      <w:r w:rsidR="005115C9">
        <w:t>s rights groups with</w:t>
      </w:r>
      <w:r>
        <w:t xml:space="preserve"> advocacy </w:t>
      </w:r>
      <w:r w:rsidR="005115C9">
        <w:t xml:space="preserve">potential were already known </w:t>
      </w:r>
      <w:r w:rsidR="000A671C">
        <w:t>to</w:t>
      </w:r>
      <w:r w:rsidR="005115C9">
        <w:t xml:space="preserve"> HRI staff</w:t>
      </w:r>
      <w:r w:rsidR="00FF2A91">
        <w:t xml:space="preserve"> or were eas</w:t>
      </w:r>
      <w:r w:rsidR="000A671C">
        <w:t>y</w:t>
      </w:r>
      <w:r w:rsidR="00FF2A91">
        <w:t xml:space="preserve"> to identify</w:t>
      </w:r>
      <w:r>
        <w:t xml:space="preserve">. </w:t>
      </w:r>
      <w:r w:rsidR="00251F97">
        <w:t>I</w:t>
      </w:r>
      <w:r w:rsidR="00703280">
        <w:t>n</w:t>
      </w:r>
      <w:r w:rsidR="004064A2">
        <w:t xml:space="preserve"> </w:t>
      </w:r>
      <w:r w:rsidR="009821D3">
        <w:t>the</w:t>
      </w:r>
      <w:r w:rsidR="000623F4">
        <w:t xml:space="preserve"> </w:t>
      </w:r>
      <w:r w:rsidR="00251F97">
        <w:t>2010 review of</w:t>
      </w:r>
      <w:r w:rsidR="009821D3">
        <w:t xml:space="preserve"> our</w:t>
      </w:r>
      <w:r w:rsidR="005115C9">
        <w:t xml:space="preserve"> strategy</w:t>
      </w:r>
      <w:r w:rsidR="009821D3">
        <w:t xml:space="preserve"> </w:t>
      </w:r>
      <w:r w:rsidR="004064A2">
        <w:t xml:space="preserve">we emphasized the need to </w:t>
      </w:r>
      <w:r w:rsidR="00E05366">
        <w:t>adjust our work to the</w:t>
      </w:r>
      <w:r w:rsidR="009821D3">
        <w:t xml:space="preserve"> </w:t>
      </w:r>
      <w:r w:rsidR="008258D2">
        <w:t>needs of sub-regions</w:t>
      </w:r>
      <w:r w:rsidR="000A671C">
        <w:t>. For example,</w:t>
      </w:r>
      <w:r w:rsidR="00251F97">
        <w:t xml:space="preserve"> we agreed to be more proactive in identifying potential NGOs </w:t>
      </w:r>
      <w:r w:rsidR="00472CD2">
        <w:t xml:space="preserve">in Central Asia </w:t>
      </w:r>
      <w:r w:rsidR="00251F97">
        <w:t>and we worked together with researchers and other donors in order to do so</w:t>
      </w:r>
      <w:r w:rsidR="009821D3">
        <w:t>.</w:t>
      </w:r>
      <w:r w:rsidR="00251F97">
        <w:t xml:space="preserve"> As a result, in 2010 we started to fund women’s rights groups in Kazakhstan, Kyrgyzstan, Tajikistan</w:t>
      </w:r>
      <w:r w:rsidR="002F05AE">
        <w:t>,</w:t>
      </w:r>
      <w:r w:rsidR="00251F97">
        <w:t xml:space="preserve"> Mongolia</w:t>
      </w:r>
      <w:r w:rsidR="00472CD2">
        <w:t xml:space="preserve"> </w:t>
      </w:r>
      <w:r w:rsidR="006F26CD">
        <w:t>and</w:t>
      </w:r>
      <w:r w:rsidR="00472CD2">
        <w:t xml:space="preserve"> Azerbaijan</w:t>
      </w:r>
      <w:r w:rsidR="00251F97">
        <w:t>.</w:t>
      </w:r>
      <w:r w:rsidR="00AA5E46">
        <w:t xml:space="preserve"> However,</w:t>
      </w:r>
      <w:r w:rsidR="000A671C">
        <w:t xml:space="preserve"> if</w:t>
      </w:r>
      <w:r w:rsidR="00325AD0">
        <w:t xml:space="preserve"> we</w:t>
      </w:r>
      <w:r w:rsidR="002F05AE">
        <w:t xml:space="preserve"> ha</w:t>
      </w:r>
      <w:r w:rsidR="000A671C">
        <w:t>d</w:t>
      </w:r>
      <w:r w:rsidR="002F05AE">
        <w:t xml:space="preserve"> </w:t>
      </w:r>
      <w:r w:rsidR="000A671C">
        <w:t>developed</w:t>
      </w:r>
      <w:r w:rsidR="002F05AE">
        <w:t xml:space="preserve"> </w:t>
      </w:r>
      <w:r w:rsidR="00266821">
        <w:t xml:space="preserve">proactive strategies </w:t>
      </w:r>
      <w:r w:rsidR="002F05AE">
        <w:t xml:space="preserve">for </w:t>
      </w:r>
      <w:r w:rsidR="00AA5E46">
        <w:t>identif</w:t>
      </w:r>
      <w:r w:rsidR="00325AD0">
        <w:t>ying</w:t>
      </w:r>
      <w:r w:rsidR="00AA5E46">
        <w:t xml:space="preserve"> promising women’s rights groups</w:t>
      </w:r>
      <w:r w:rsidR="00325AD0">
        <w:t xml:space="preserve"> </w:t>
      </w:r>
      <w:r w:rsidR="000A671C">
        <w:t>earlier</w:t>
      </w:r>
      <w:r w:rsidR="00AA5E46">
        <w:t xml:space="preserve">, we could have </w:t>
      </w:r>
      <w:r w:rsidR="00325AD0">
        <w:t xml:space="preserve">started funding relationships </w:t>
      </w:r>
      <w:r w:rsidR="000A671C">
        <w:t>sooner and might have been able to have more impact</w:t>
      </w:r>
      <w:r w:rsidR="00325AD0">
        <w:t xml:space="preserve"> in these countries</w:t>
      </w:r>
      <w:r w:rsidR="00AA5E46">
        <w:t xml:space="preserve">. </w:t>
      </w:r>
    </w:p>
    <w:p w:rsidR="00924ABE" w:rsidRDefault="00FC523E" w:rsidP="00FC523E">
      <w:pPr>
        <w:jc w:val="both"/>
      </w:pPr>
      <w:r>
        <w:t xml:space="preserve">Secondly, </w:t>
      </w:r>
      <w:r w:rsidR="006A4AE2">
        <w:t>we</w:t>
      </w:r>
      <w:r w:rsidR="009821D3">
        <w:t xml:space="preserve"> have</w:t>
      </w:r>
      <w:r w:rsidR="006A4AE2">
        <w:t xml:space="preserve"> o</w:t>
      </w:r>
      <w:r w:rsidR="00CB12C8">
        <w:t xml:space="preserve">nly </w:t>
      </w:r>
      <w:r w:rsidR="009821D3">
        <w:t xml:space="preserve">been </w:t>
      </w:r>
      <w:r w:rsidR="00CB12C8">
        <w:t>partially successful</w:t>
      </w:r>
      <w:r>
        <w:t xml:space="preserve"> in</w:t>
      </w:r>
      <w:r w:rsidR="000C0676">
        <w:t xml:space="preserve"> adjust</w:t>
      </w:r>
      <w:r>
        <w:t>ing our capacity-buil</w:t>
      </w:r>
      <w:r w:rsidR="005E0AD7">
        <w:t xml:space="preserve">ding work to the </w:t>
      </w:r>
      <w:r w:rsidR="000A671C">
        <w:t xml:space="preserve">particular </w:t>
      </w:r>
      <w:r w:rsidR="005E0AD7">
        <w:t xml:space="preserve">needs of </w:t>
      </w:r>
      <w:r>
        <w:t>groups</w:t>
      </w:r>
      <w:r w:rsidR="000A671C">
        <w:t xml:space="preserve"> in more challenging parts </w:t>
      </w:r>
      <w:r w:rsidR="00C1271B">
        <w:t>of</w:t>
      </w:r>
      <w:r w:rsidR="000A671C">
        <w:t xml:space="preserve"> the region</w:t>
      </w:r>
      <w:r>
        <w:t xml:space="preserve">. In some cases it has taken longer to adjust a tool than we anticipated. </w:t>
      </w:r>
      <w:r w:rsidR="00E4558B">
        <w:t>For instance, t</w:t>
      </w:r>
      <w:r w:rsidR="008258D2">
        <w:t xml:space="preserve">he development and launch of the </w:t>
      </w:r>
      <w:r w:rsidR="00E4558B">
        <w:t xml:space="preserve">Russian version of </w:t>
      </w:r>
      <w:r>
        <w:t>the capacity-building</w:t>
      </w:r>
      <w:r w:rsidR="00E4558B">
        <w:t xml:space="preserve"> </w:t>
      </w:r>
      <w:r w:rsidR="008258D2">
        <w:t>training</w:t>
      </w:r>
      <w:r>
        <w:t xml:space="preserve"> for lawyers</w:t>
      </w:r>
      <w:r w:rsidR="00472CD2">
        <w:t xml:space="preserve"> has </w:t>
      </w:r>
      <w:r w:rsidR="00C1271B">
        <w:t>taken</w:t>
      </w:r>
      <w:r w:rsidR="00472CD2">
        <w:t xml:space="preserve"> almost two years</w:t>
      </w:r>
      <w:r w:rsidR="008258D2">
        <w:t>.</w:t>
      </w:r>
      <w:r w:rsidR="00CB12C8">
        <w:t xml:space="preserve"> </w:t>
      </w:r>
      <w:r w:rsidR="00A723B6">
        <w:t xml:space="preserve">The </w:t>
      </w:r>
      <w:r w:rsidR="00C077BF">
        <w:t>first</w:t>
      </w:r>
      <w:r w:rsidR="008258D2">
        <w:t xml:space="preserve"> </w:t>
      </w:r>
      <w:r w:rsidR="00A723B6">
        <w:t>training</w:t>
      </w:r>
      <w:r w:rsidR="00C077BF">
        <w:t xml:space="preserve"> </w:t>
      </w:r>
      <w:r w:rsidR="00472CD2">
        <w:t xml:space="preserve">started in 2013 </w:t>
      </w:r>
      <w:r w:rsidR="00C077BF">
        <w:t>and</w:t>
      </w:r>
      <w:r w:rsidR="00A723B6">
        <w:t xml:space="preserve"> </w:t>
      </w:r>
      <w:r w:rsidR="009821D3">
        <w:t>was</w:t>
      </w:r>
      <w:r w:rsidR="00A723B6">
        <w:t xml:space="preserve"> well received</w:t>
      </w:r>
      <w:r w:rsidR="000A671C">
        <w:t>, but will take time to demonstrate impact.</w:t>
      </w:r>
      <w:r w:rsidR="00A723B6">
        <w:t xml:space="preserve"> </w:t>
      </w:r>
      <w:r w:rsidR="00924ABE">
        <w:t>Furthermore</w:t>
      </w:r>
      <w:r w:rsidR="00052B65">
        <w:t xml:space="preserve">, although we encouraged our international partners </w:t>
      </w:r>
      <w:r w:rsidR="000A671C">
        <w:t xml:space="preserve">to </w:t>
      </w:r>
      <w:r w:rsidR="00052B65">
        <w:t xml:space="preserve">work with </w:t>
      </w:r>
      <w:r w:rsidR="005E0AD7">
        <w:t xml:space="preserve">our key </w:t>
      </w:r>
      <w:r w:rsidR="000A671C">
        <w:t xml:space="preserve">local </w:t>
      </w:r>
      <w:r w:rsidR="005E0AD7">
        <w:t>partners in Eurasia</w:t>
      </w:r>
      <w:r w:rsidR="00052B65">
        <w:t>, i</w:t>
      </w:r>
      <w:r w:rsidR="00972C33">
        <w:t xml:space="preserve">n </w:t>
      </w:r>
      <w:r w:rsidR="00052B65">
        <w:t xml:space="preserve">some </w:t>
      </w:r>
      <w:r w:rsidR="00972C33">
        <w:t>cases</w:t>
      </w:r>
      <w:r w:rsidR="00924ABE">
        <w:t xml:space="preserve"> they</w:t>
      </w:r>
      <w:r w:rsidR="00972C33">
        <w:t xml:space="preserve"> </w:t>
      </w:r>
      <w:r w:rsidR="00052B65">
        <w:t>struggled with</w:t>
      </w:r>
      <w:r w:rsidR="0095776A">
        <w:t xml:space="preserve"> responding to the</w:t>
      </w:r>
      <w:r w:rsidR="00972C33">
        <w:t xml:space="preserve"> needs of groups in these countries. For instance, while Interights worked well on</w:t>
      </w:r>
      <w:r w:rsidR="0095776A">
        <w:t xml:space="preserve"> strategic</w:t>
      </w:r>
      <w:r w:rsidR="00972C33">
        <w:t xml:space="preserve"> cases with </w:t>
      </w:r>
      <w:r w:rsidR="00052B65">
        <w:t>women’s rights groups</w:t>
      </w:r>
      <w:r w:rsidR="00972C33">
        <w:t xml:space="preserve"> from </w:t>
      </w:r>
      <w:r w:rsidR="00AA5E46">
        <w:t>Central Europe and South-East Europe</w:t>
      </w:r>
      <w:r w:rsidR="000A671C">
        <w:t>,</w:t>
      </w:r>
      <w:r w:rsidR="00B868F1">
        <w:t xml:space="preserve"> most of whom have had some exposure to strategic </w:t>
      </w:r>
      <w:r w:rsidR="00C1271B">
        <w:t>litigation;</w:t>
      </w:r>
      <w:r w:rsidR="00D2291F">
        <w:t xml:space="preserve"> </w:t>
      </w:r>
      <w:r w:rsidR="00972C33">
        <w:t xml:space="preserve">it was unable to </w:t>
      </w:r>
      <w:r w:rsidR="00052B65">
        <w:t xml:space="preserve">develop cases </w:t>
      </w:r>
      <w:r w:rsidR="00972C33">
        <w:t>with women’s rights groups in the South Caucasus</w:t>
      </w:r>
      <w:r w:rsidR="00AA5E46">
        <w:t xml:space="preserve"> and Russia</w:t>
      </w:r>
      <w:r w:rsidR="00B868F1">
        <w:t xml:space="preserve"> who did not have prior history </w:t>
      </w:r>
      <w:r w:rsidR="000A671C">
        <w:t>doing litigation</w:t>
      </w:r>
      <w:r w:rsidR="00052B65">
        <w:t xml:space="preserve">. We were convinced that this </w:t>
      </w:r>
      <w:r w:rsidR="000A671C">
        <w:t>was</w:t>
      </w:r>
      <w:r w:rsidR="00052B65">
        <w:t xml:space="preserve"> because </w:t>
      </w:r>
      <w:r w:rsidR="00C1271B">
        <w:t>Interights</w:t>
      </w:r>
      <w:r w:rsidR="00924ABE">
        <w:t xml:space="preserve"> d</w:t>
      </w:r>
      <w:r w:rsidR="000A671C">
        <w:t>id</w:t>
      </w:r>
      <w:r w:rsidR="00924ABE">
        <w:t xml:space="preserve"> not have a</w:t>
      </w:r>
      <w:r w:rsidR="00052B65">
        <w:t xml:space="preserve"> </w:t>
      </w:r>
      <w:r w:rsidR="000A671C">
        <w:t xml:space="preserve">strategy for its </w:t>
      </w:r>
      <w:r w:rsidR="00052B65">
        <w:t xml:space="preserve">capacity-building </w:t>
      </w:r>
      <w:r w:rsidR="000A671C">
        <w:t>work and</w:t>
      </w:r>
      <w:r w:rsidR="00AA5E46">
        <w:t xml:space="preserve"> we </w:t>
      </w:r>
      <w:r w:rsidR="00924ABE">
        <w:t xml:space="preserve">encouraged </w:t>
      </w:r>
      <w:r w:rsidR="000A671C">
        <w:t>it</w:t>
      </w:r>
      <w:r w:rsidR="00924ABE">
        <w:t xml:space="preserve"> to develop one</w:t>
      </w:r>
      <w:r w:rsidR="000A671C">
        <w:t>. This</w:t>
      </w:r>
      <w:r w:rsidR="00924ABE">
        <w:t xml:space="preserve"> eventually took place in 2013 and</w:t>
      </w:r>
      <w:r w:rsidR="000A671C">
        <w:t xml:space="preserve"> as a result Interights</w:t>
      </w:r>
      <w:r w:rsidR="00924ABE">
        <w:t xml:space="preserve"> has started to have promising collaborations in Russia. Nevertheless, the process of working with Interights to develop a strategy has taken a long time, thus retrospectively</w:t>
      </w:r>
      <w:r w:rsidR="000A671C">
        <w:t>,</w:t>
      </w:r>
      <w:r w:rsidR="00924ABE">
        <w:t xml:space="preserve"> the question emerges whether we should</w:t>
      </w:r>
      <w:r w:rsidR="00B868F1">
        <w:t xml:space="preserve"> have acknowledged that Interights was not going to work </w:t>
      </w:r>
      <w:r w:rsidR="00D2291F">
        <w:t xml:space="preserve">effectively </w:t>
      </w:r>
      <w:r w:rsidR="00B868F1">
        <w:t>with partners in these countries</w:t>
      </w:r>
      <w:r w:rsidR="000A671C">
        <w:t xml:space="preserve"> and taken a different approach to providing support to local groups</w:t>
      </w:r>
      <w:r w:rsidR="00924ABE">
        <w:t>.</w:t>
      </w:r>
      <w:r w:rsidR="00124129">
        <w:t xml:space="preserve"> Other, more tailor-made capacity-building methods, such as individual consultancies or collaboration with AHR or BGRF</w:t>
      </w:r>
      <w:r w:rsidR="00AA5E46">
        <w:t xml:space="preserve"> on</w:t>
      </w:r>
      <w:r w:rsidR="00124129">
        <w:t xml:space="preserve"> a specific monitoring project or training for police/ prosecution, have worked generally well</w:t>
      </w:r>
      <w:r w:rsidR="000A671C">
        <w:t xml:space="preserve"> and could have been expanded as an alternative approach</w:t>
      </w:r>
      <w:r w:rsidR="00124129">
        <w:t>.</w:t>
      </w:r>
    </w:p>
    <w:p w:rsidR="001C5F47" w:rsidRDefault="00AA5E46" w:rsidP="00FC523E">
      <w:pPr>
        <w:jc w:val="both"/>
      </w:pPr>
      <w:r>
        <w:t>Thirdly,</w:t>
      </w:r>
      <w:r w:rsidR="001C14D8">
        <w:t xml:space="preserve"> although we </w:t>
      </w:r>
      <w:r w:rsidR="008463EB">
        <w:t>provide</w:t>
      </w:r>
      <w:r w:rsidR="001C14D8">
        <w:t>d more assistance</w:t>
      </w:r>
      <w:r w:rsidR="002A5086">
        <w:t xml:space="preserve"> to the grantees </w:t>
      </w:r>
      <w:r w:rsidR="00A723B6">
        <w:t>in</w:t>
      </w:r>
      <w:r w:rsidR="008463EB">
        <w:t xml:space="preserve"> some countries, </w:t>
      </w:r>
      <w:r w:rsidR="00C077BF">
        <w:t>we did not go beyond the logic of investing in one or t</w:t>
      </w:r>
      <w:r w:rsidR="002A5086">
        <w:t>wo key groups committed</w:t>
      </w:r>
      <w:r w:rsidR="00C077BF">
        <w:t xml:space="preserve"> to undertak</w:t>
      </w:r>
      <w:r w:rsidR="002A5086">
        <w:t>ing</w:t>
      </w:r>
      <w:r w:rsidR="00C077BF">
        <w:t xml:space="preserve"> advocacy towards the implementation of dom</w:t>
      </w:r>
      <w:r w:rsidR="002A5086">
        <w:t>estic violence laws</w:t>
      </w:r>
      <w:r w:rsidR="00C077BF">
        <w:t>. I</w:t>
      </w:r>
      <w:r w:rsidR="004F20EB">
        <w:t xml:space="preserve">n light of </w:t>
      </w:r>
      <w:r w:rsidR="00C5668E">
        <w:t xml:space="preserve">the </w:t>
      </w:r>
      <w:r w:rsidR="004F20EB">
        <w:t>recent attacks</w:t>
      </w:r>
      <w:r w:rsidR="00C5668E">
        <w:t xml:space="preserve"> we have seen</w:t>
      </w:r>
      <w:r w:rsidR="004F20EB">
        <w:t xml:space="preserve"> on gender equality</w:t>
      </w:r>
      <w:r w:rsidR="00D2291F">
        <w:t xml:space="preserve"> in Russia, Armenia and other countries, </w:t>
      </w:r>
      <w:r w:rsidR="0031230E">
        <w:t xml:space="preserve"> </w:t>
      </w:r>
      <w:r w:rsidR="00D2291F">
        <w:t>broader strategies including supporting groups to do public education work</w:t>
      </w:r>
      <w:r w:rsidR="008C6C8B">
        <w:t xml:space="preserve"> </w:t>
      </w:r>
      <w:r w:rsidR="00C5668E">
        <w:t>were</w:t>
      </w:r>
      <w:r w:rsidR="008C6C8B">
        <w:t xml:space="preserve"> needed</w:t>
      </w:r>
      <w:r w:rsidR="008258D2">
        <w:t xml:space="preserve">. </w:t>
      </w:r>
      <w:r w:rsidR="00183175">
        <w:t>We are concerned that even if Russian women’</w:t>
      </w:r>
      <w:r w:rsidR="008C6C8B">
        <w:t xml:space="preserve">s rights lawyers </w:t>
      </w:r>
      <w:r w:rsidR="00183175">
        <w:t xml:space="preserve">take strong cases of domestic violence to </w:t>
      </w:r>
      <w:r w:rsidR="004F20EB">
        <w:t>the courts</w:t>
      </w:r>
      <w:r w:rsidR="00183175">
        <w:t>,</w:t>
      </w:r>
      <w:r w:rsidR="008C6C8B">
        <w:t xml:space="preserve"> and manage to pass</w:t>
      </w:r>
      <w:r w:rsidR="002A5086">
        <w:t xml:space="preserve"> a law on domestic violence, </w:t>
      </w:r>
      <w:r w:rsidR="00183175">
        <w:t>if the backlash on gender equality continues</w:t>
      </w:r>
      <w:r w:rsidR="008C6C8B">
        <w:t xml:space="preserve"> in Russia, these policies</w:t>
      </w:r>
      <w:r w:rsidR="00183175">
        <w:t xml:space="preserve"> </w:t>
      </w:r>
      <w:r w:rsidR="008C6C8B">
        <w:t>may have</w:t>
      </w:r>
      <w:r w:rsidR="00183175">
        <w:t xml:space="preserve"> limited impact.</w:t>
      </w:r>
      <w:r w:rsidR="0090082D">
        <w:t xml:space="preserve"> While </w:t>
      </w:r>
      <w:r w:rsidR="00C5668E">
        <w:t>a</w:t>
      </w:r>
      <w:r w:rsidR="0090082D">
        <w:t xml:space="preserve"> backlash</w:t>
      </w:r>
      <w:r w:rsidR="007259D2">
        <w:t xml:space="preserve"> against women’s rights</w:t>
      </w:r>
      <w:r w:rsidR="0090082D">
        <w:t xml:space="preserve"> has unfolded in </w:t>
      </w:r>
      <w:r w:rsidR="008C6C8B">
        <w:t>other countries including Poland, Slovakia and Hungary</w:t>
      </w:r>
      <w:r w:rsidR="00C5668E">
        <w:t>, and this</w:t>
      </w:r>
      <w:r w:rsidR="005E0AD7">
        <w:t xml:space="preserve"> may have impact on</w:t>
      </w:r>
      <w:r w:rsidR="007259D2">
        <w:t xml:space="preserve"> </w:t>
      </w:r>
      <w:r w:rsidR="005E0AD7">
        <w:t>women’s</w:t>
      </w:r>
      <w:r w:rsidR="007259D2">
        <w:t xml:space="preserve"> reproductive rights, </w:t>
      </w:r>
      <w:r w:rsidR="0031230E">
        <w:t xml:space="preserve">it is less </w:t>
      </w:r>
      <w:r w:rsidR="0090082D">
        <w:t>likely to lead to significant regression</w:t>
      </w:r>
      <w:r w:rsidR="007259D2">
        <w:t xml:space="preserve"> in the area of domestic violence</w:t>
      </w:r>
      <w:r w:rsidR="0090082D">
        <w:t xml:space="preserve"> where</w:t>
      </w:r>
      <w:r w:rsidR="00C462B8">
        <w:t xml:space="preserve"> </w:t>
      </w:r>
      <w:r w:rsidR="0090082D">
        <w:t xml:space="preserve"> laws, policies, </w:t>
      </w:r>
      <w:r w:rsidR="00C5668E">
        <w:t xml:space="preserve">and </w:t>
      </w:r>
      <w:r w:rsidR="0090082D">
        <w:t xml:space="preserve">systems are </w:t>
      </w:r>
      <w:r w:rsidR="00C462B8">
        <w:t xml:space="preserve">now in place and </w:t>
      </w:r>
      <w:r w:rsidR="0090082D">
        <w:t>more or less functional. If the backlash happens prior to the</w:t>
      </w:r>
      <w:r w:rsidR="00C462B8">
        <w:t xml:space="preserve"> institutionalization of </w:t>
      </w:r>
      <w:r w:rsidR="0090082D">
        <w:t>the</w:t>
      </w:r>
      <w:r w:rsidR="0099152A">
        <w:t xml:space="preserve">se, as </w:t>
      </w:r>
      <w:r w:rsidR="001C5F47">
        <w:t xml:space="preserve">is the case in Russia </w:t>
      </w:r>
      <w:r w:rsidR="00066150">
        <w:t xml:space="preserve">and </w:t>
      </w:r>
      <w:r w:rsidR="0090082D">
        <w:t>Armenia</w:t>
      </w:r>
      <w:r w:rsidR="001C5F47">
        <w:t>,</w:t>
      </w:r>
      <w:r w:rsidR="00720C8E">
        <w:t xml:space="preserve"> it</w:t>
      </w:r>
      <w:r w:rsidR="00A863CB">
        <w:t xml:space="preserve"> may lead to continued state inaction on domestic violence</w:t>
      </w:r>
      <w:r w:rsidR="0090082D">
        <w:t>.</w:t>
      </w:r>
      <w:r w:rsidR="000C0676">
        <w:t xml:space="preserve"> </w:t>
      </w:r>
    </w:p>
    <w:p w:rsidR="00E968A4" w:rsidRPr="004C648F" w:rsidRDefault="00D4766E" w:rsidP="00BE1DCD">
      <w:pPr>
        <w:jc w:val="both"/>
        <w:rPr>
          <w:i/>
        </w:rPr>
      </w:pPr>
      <w:r>
        <w:rPr>
          <w:i/>
        </w:rPr>
        <w:t>Limited cooperation with m</w:t>
      </w:r>
      <w:r w:rsidR="00E968A4" w:rsidRPr="004C648F">
        <w:rPr>
          <w:i/>
        </w:rPr>
        <w:t>ainstream h</w:t>
      </w:r>
      <w:r>
        <w:rPr>
          <w:i/>
        </w:rPr>
        <w:t>uman rights groups</w:t>
      </w:r>
      <w:r w:rsidR="00E968A4" w:rsidRPr="004C648F">
        <w:rPr>
          <w:i/>
        </w:rPr>
        <w:t xml:space="preserve"> to work on domestic violence</w:t>
      </w:r>
    </w:p>
    <w:p w:rsidR="00E968A4" w:rsidRDefault="006D02BC" w:rsidP="00BE1DCD">
      <w:pPr>
        <w:jc w:val="both"/>
      </w:pPr>
      <w:r>
        <w:t xml:space="preserve">With a few exceptions, </w:t>
      </w:r>
      <w:r w:rsidR="00E968A4">
        <w:t xml:space="preserve">mainstream human rights groups in </w:t>
      </w:r>
      <w:r w:rsidR="00C87340">
        <w:t>Eastern</w:t>
      </w:r>
      <w:r w:rsidR="00066150">
        <w:t xml:space="preserve"> Europe and Eurasia </w:t>
      </w:r>
      <w:r w:rsidR="00E968A4">
        <w:t>do not work on domestic violence</w:t>
      </w:r>
      <w:r w:rsidR="00066150">
        <w:t>,</w:t>
      </w:r>
      <w:r w:rsidR="00E968A4">
        <w:t xml:space="preserve"> </w:t>
      </w:r>
      <w:r w:rsidR="00BD49DA">
        <w:t>although</w:t>
      </w:r>
      <w:r w:rsidR="00E968A4">
        <w:t xml:space="preserve"> their litigation and monitoring skills and familiarity with regional and international human rights treaties </w:t>
      </w:r>
      <w:r w:rsidR="00703280">
        <w:t>are generally</w:t>
      </w:r>
      <w:r w:rsidR="00C87340">
        <w:t xml:space="preserve"> </w:t>
      </w:r>
      <w:r w:rsidR="00E968A4">
        <w:t>superior to women’s</w:t>
      </w:r>
      <w:r w:rsidR="00C87340">
        <w:t xml:space="preserve"> </w:t>
      </w:r>
      <w:r w:rsidR="00703280">
        <w:t>rights groups</w:t>
      </w:r>
      <w:r w:rsidR="00E968A4">
        <w:t>. Our 2007 strategy envisioned strengthening their e</w:t>
      </w:r>
      <w:r w:rsidR="00066150">
        <w:t>ngagement in the field</w:t>
      </w:r>
      <w:r w:rsidR="006A5C15">
        <w:t xml:space="preserve"> by </w:t>
      </w:r>
      <w:r w:rsidR="00BD49DA">
        <w:t xml:space="preserve">raising the matter in conversations with </w:t>
      </w:r>
      <w:r>
        <w:t>them</w:t>
      </w:r>
      <w:r w:rsidR="00BD49DA">
        <w:t xml:space="preserve"> and by facilitating </w:t>
      </w:r>
      <w:r w:rsidR="00C5668E">
        <w:t>discussion</w:t>
      </w:r>
      <w:r w:rsidR="00BD49DA">
        <w:t xml:space="preserve">s between women’s rights groups and human rights groups hoping that </w:t>
      </w:r>
      <w:r w:rsidR="006A5C15">
        <w:t>joint projects</w:t>
      </w:r>
      <w:r w:rsidR="00BD49DA">
        <w:t xml:space="preserve"> </w:t>
      </w:r>
      <w:r w:rsidR="00C5668E">
        <w:t>would</w:t>
      </w:r>
      <w:r w:rsidR="00BD49DA">
        <w:t xml:space="preserve"> emerge.</w:t>
      </w:r>
      <w:r w:rsidR="006A5C15">
        <w:t xml:space="preserve"> </w:t>
      </w:r>
      <w:r w:rsidR="00066150">
        <w:t>Our</w:t>
      </w:r>
      <w:r w:rsidR="00E968A4">
        <w:t xml:space="preserve"> conversations with mainstream groups</w:t>
      </w:r>
      <w:r w:rsidR="00066150">
        <w:t>, however,</w:t>
      </w:r>
      <w:r w:rsidR="00E968A4">
        <w:t xml:space="preserve"> </w:t>
      </w:r>
      <w:r w:rsidR="00BD49DA">
        <w:t xml:space="preserve">often times </w:t>
      </w:r>
      <w:r w:rsidR="00C5668E">
        <w:t>indicated a</w:t>
      </w:r>
      <w:r w:rsidR="00E968A4">
        <w:t xml:space="preserve"> resistance</w:t>
      </w:r>
      <w:r w:rsidR="00BD49DA">
        <w:t xml:space="preserve"> to and</w:t>
      </w:r>
      <w:r w:rsidR="00C5668E">
        <w:t xml:space="preserve"> a</w:t>
      </w:r>
      <w:r w:rsidR="00BD49DA">
        <w:t xml:space="preserve"> lack of understanding of domestic violence as a human rights issue</w:t>
      </w:r>
      <w:r w:rsidR="00C5668E">
        <w:t>. Additionally</w:t>
      </w:r>
      <w:r w:rsidR="00E968A4">
        <w:t xml:space="preserve"> </w:t>
      </w:r>
      <w:r w:rsidR="00C5668E">
        <w:t xml:space="preserve">women’s rights groups were often territorial and </w:t>
      </w:r>
      <w:r w:rsidR="00BD49DA">
        <w:t>fear</w:t>
      </w:r>
      <w:r w:rsidR="00C5668E">
        <w:t xml:space="preserve">ed others becoming involved. </w:t>
      </w:r>
      <w:r w:rsidR="00066150">
        <w:t xml:space="preserve"> </w:t>
      </w:r>
      <w:r w:rsidR="00C5668E">
        <w:t xml:space="preserve">This included sometimes </w:t>
      </w:r>
      <w:r w:rsidR="003B3BD0">
        <w:t xml:space="preserve">sending </w:t>
      </w:r>
      <w:r w:rsidR="00C14D48">
        <w:t>mixed messages to human rights groups</w:t>
      </w:r>
      <w:r w:rsidR="00720C8E">
        <w:t>.</w:t>
      </w:r>
      <w:r w:rsidR="00BD49DA">
        <w:t xml:space="preserve"> </w:t>
      </w:r>
      <w:r w:rsidR="00C5668E">
        <w:t>On the one hand they</w:t>
      </w:r>
      <w:r w:rsidR="00BD49DA">
        <w:t xml:space="preserve"> </w:t>
      </w:r>
      <w:r w:rsidR="0073730C">
        <w:t xml:space="preserve">expressed concern </w:t>
      </w:r>
      <w:r w:rsidR="00BD49DA">
        <w:t>about the lack of interest from mainstream g</w:t>
      </w:r>
      <w:r w:rsidR="00720C8E">
        <w:t>roups, however</w:t>
      </w:r>
      <w:r w:rsidR="00C5668E">
        <w:t>,</w:t>
      </w:r>
      <w:r w:rsidR="00720C8E">
        <w:t xml:space="preserve"> when some of th</w:t>
      </w:r>
      <w:r w:rsidR="00C5668E">
        <w:t xml:space="preserve">ese groups </w:t>
      </w:r>
      <w:r w:rsidR="00BD49DA">
        <w:t xml:space="preserve"> engage</w:t>
      </w:r>
      <w:r w:rsidR="00720C8E">
        <w:t>d</w:t>
      </w:r>
      <w:r w:rsidR="00BD49DA">
        <w:t xml:space="preserve"> on the topic, women’s </w:t>
      </w:r>
      <w:r w:rsidR="00720C8E">
        <w:t xml:space="preserve">rights </w:t>
      </w:r>
      <w:r w:rsidR="00BD49DA">
        <w:t xml:space="preserve">groups were quick to point out their incompetence. </w:t>
      </w:r>
      <w:r w:rsidR="003B3BD0">
        <w:t>T</w:t>
      </w:r>
      <w:r w:rsidR="00E968A4">
        <w:t>hus in the 2010 review of our strategy we decided not to pursue th</w:t>
      </w:r>
      <w:r w:rsidR="00C5668E">
        <w:t>is</w:t>
      </w:r>
      <w:r w:rsidR="00E968A4">
        <w:t xml:space="preserve"> objective. Retrospectively, we probably gave up too easily</w:t>
      </w:r>
      <w:r w:rsidR="003B3BD0">
        <w:t xml:space="preserve"> and </w:t>
      </w:r>
      <w:r w:rsidR="00BA561F">
        <w:t xml:space="preserve">missed an opportunity to assist </w:t>
      </w:r>
      <w:r w:rsidR="00C5668E">
        <w:t xml:space="preserve">in </w:t>
      </w:r>
      <w:r w:rsidR="00BA561F">
        <w:t xml:space="preserve">the integration of </w:t>
      </w:r>
      <w:r w:rsidR="003B3BD0">
        <w:t>women’s</w:t>
      </w:r>
      <w:r w:rsidR="00DF3F38">
        <w:t xml:space="preserve"> rights</w:t>
      </w:r>
      <w:r w:rsidR="003B3BD0">
        <w:t xml:space="preserve"> </w:t>
      </w:r>
      <w:r w:rsidR="00BA561F">
        <w:t xml:space="preserve">groups </w:t>
      </w:r>
      <w:r w:rsidR="003B3BD0">
        <w:t xml:space="preserve">into the </w:t>
      </w:r>
      <w:r w:rsidR="00C17AE0">
        <w:t xml:space="preserve">broader </w:t>
      </w:r>
      <w:r w:rsidR="003B3BD0">
        <w:t>human rights discourse</w:t>
      </w:r>
      <w:r w:rsidR="004A625F">
        <w:t>.</w:t>
      </w:r>
      <w:r w:rsidR="00720C8E">
        <w:t xml:space="preserve"> I</w:t>
      </w:r>
      <w:r w:rsidR="004A625F">
        <w:t>n</w:t>
      </w:r>
      <w:r w:rsidR="00C17AE0">
        <w:t xml:space="preserve"> pursuance of this goal we could</w:t>
      </w:r>
      <w:r w:rsidR="00E968A4">
        <w:t xml:space="preserve"> have considered other tools</w:t>
      </w:r>
      <w:r w:rsidR="00C5668E">
        <w:t xml:space="preserve">. For example, </w:t>
      </w:r>
      <w:r w:rsidR="004A625F">
        <w:t xml:space="preserve"> </w:t>
      </w:r>
      <w:r w:rsidR="001A64FC">
        <w:t>a</w:t>
      </w:r>
      <w:r w:rsidR="00E968A4">
        <w:t xml:space="preserve"> call for </w:t>
      </w:r>
      <w:r w:rsidR="00C17AE0">
        <w:t xml:space="preserve">join project </w:t>
      </w:r>
      <w:r w:rsidR="00E968A4">
        <w:t>proposals</w:t>
      </w:r>
      <w:r w:rsidR="00C5668E">
        <w:t>, or the</w:t>
      </w:r>
      <w:r w:rsidR="00E968A4">
        <w:t xml:space="preserve"> organizing of convenings t</w:t>
      </w:r>
      <w:r w:rsidR="00C17AE0">
        <w:t>hat</w:t>
      </w:r>
      <w:r w:rsidR="00E968A4">
        <w:t xml:space="preserve"> br</w:t>
      </w:r>
      <w:r w:rsidR="00C17AE0">
        <w:t>ought human r</w:t>
      </w:r>
      <w:r w:rsidR="00720C8E">
        <w:t>ights and women’s rights groups</w:t>
      </w:r>
      <w:r w:rsidR="001A64FC">
        <w:t xml:space="preserve"> together</w:t>
      </w:r>
      <w:r w:rsidR="00E968A4">
        <w:t>,</w:t>
      </w:r>
      <w:r w:rsidR="001A64FC">
        <w:t xml:space="preserve"> or</w:t>
      </w:r>
      <w:r w:rsidR="00E968A4">
        <w:t xml:space="preserve"> fellowships/exchanges </w:t>
      </w:r>
      <w:r w:rsidR="00C5668E">
        <w:t xml:space="preserve"> that build relationships and</w:t>
      </w:r>
      <w:r w:rsidR="00E968A4">
        <w:t xml:space="preserve"> stre</w:t>
      </w:r>
      <w:r w:rsidR="00720C8E">
        <w:t xml:space="preserve">ngthen collaboration. </w:t>
      </w:r>
      <w:r w:rsidR="00C17AE0">
        <w:t>Such efforts might have been particularly helpful in some of the most challenging countrie</w:t>
      </w:r>
      <w:r w:rsidR="004A625F">
        <w:t>s</w:t>
      </w:r>
      <w:r w:rsidR="00C5668E">
        <w:t xml:space="preserve"> </w:t>
      </w:r>
      <w:r w:rsidR="00C1271B">
        <w:t>like Russia</w:t>
      </w:r>
      <w:r w:rsidR="001A64FC">
        <w:t>.</w:t>
      </w:r>
    </w:p>
    <w:p w:rsidR="00E968A4" w:rsidRPr="004C648F" w:rsidRDefault="00C17AE0" w:rsidP="00BE1DCD">
      <w:pPr>
        <w:jc w:val="both"/>
        <w:rPr>
          <w:i/>
        </w:rPr>
      </w:pPr>
      <w:r>
        <w:rPr>
          <w:i/>
        </w:rPr>
        <w:t>T</w:t>
      </w:r>
      <w:r w:rsidR="00E968A4" w:rsidRPr="004C648F">
        <w:rPr>
          <w:i/>
        </w:rPr>
        <w:t xml:space="preserve">rust-building </w:t>
      </w:r>
      <w:r>
        <w:rPr>
          <w:i/>
        </w:rPr>
        <w:t>between us and our grantees was too slow and there was a need</w:t>
      </w:r>
      <w:r w:rsidR="004A0E8C">
        <w:rPr>
          <w:i/>
        </w:rPr>
        <w:t xml:space="preserve"> for deeper engagements upfront</w:t>
      </w:r>
      <w:r>
        <w:rPr>
          <w:i/>
        </w:rPr>
        <w:t xml:space="preserve"> </w:t>
      </w:r>
    </w:p>
    <w:p w:rsidR="0055164B" w:rsidRPr="0055164B" w:rsidRDefault="00C17AE0" w:rsidP="00BE1DCD">
      <w:pPr>
        <w:jc w:val="both"/>
      </w:pPr>
      <w:r>
        <w:t>With most of our women’s rights grantees we have maintained regular communications typically over email, occasional phone calls and less frequently throu</w:t>
      </w:r>
      <w:r w:rsidR="00DF3F38">
        <w:t>gh in-person meetings (usually</w:t>
      </w:r>
      <w:r>
        <w:t xml:space="preserve"> annually). More intensive relationship-building work, especially frequent face-to-face meetings in the beginning of </w:t>
      </w:r>
      <w:r w:rsidR="00703280">
        <w:t xml:space="preserve">these </w:t>
      </w:r>
      <w:r>
        <w:t>relationships would have been helpful in shortening the prolonged trust-building period.</w:t>
      </w:r>
      <w:r w:rsidR="001C14D8">
        <w:t xml:space="preserve"> </w:t>
      </w:r>
      <w:r w:rsidR="00703280">
        <w:t>In our experience t</w:t>
      </w:r>
      <w:r w:rsidR="00452EC5">
        <w:t xml:space="preserve">he majority of women’s rights </w:t>
      </w:r>
      <w:r w:rsidR="00703280">
        <w:t>grantees have</w:t>
      </w:r>
      <w:r w:rsidR="00452EC5">
        <w:t xml:space="preserve"> preferr</w:t>
      </w:r>
      <w:r w:rsidR="00A8298F">
        <w:t>ed to keep their</w:t>
      </w:r>
      <w:r w:rsidR="00452EC5">
        <w:t xml:space="preserve"> distance from </w:t>
      </w:r>
      <w:r w:rsidR="00703280">
        <w:t xml:space="preserve">us and other </w:t>
      </w:r>
      <w:r w:rsidR="00452EC5">
        <w:t>donors</w:t>
      </w:r>
      <w:r w:rsidR="00703280">
        <w:t>. This has included a reluctance to</w:t>
      </w:r>
      <w:r w:rsidR="00452EC5">
        <w:t xml:space="preserve"> disclose weaknesses or failures </w:t>
      </w:r>
      <w:r w:rsidR="00BA6928">
        <w:t>out of concern</w:t>
      </w:r>
      <w:r w:rsidR="00452EC5">
        <w:t xml:space="preserve"> th</w:t>
      </w:r>
      <w:r w:rsidR="00703280">
        <w:t>e</w:t>
      </w:r>
      <w:r w:rsidR="00452EC5">
        <w:t xml:space="preserve">se could be used against the organization. Many have considered questions or requests for information as an intrusion into their work and as a misuse of donors’ power. These typically small </w:t>
      </w:r>
      <w:r w:rsidR="00896E02">
        <w:t xml:space="preserve">and radical feminist </w:t>
      </w:r>
      <w:r w:rsidR="00452EC5">
        <w:t xml:space="preserve">organizations </w:t>
      </w:r>
      <w:r w:rsidR="00703280">
        <w:t xml:space="preserve">were used to </w:t>
      </w:r>
      <w:r w:rsidR="00497EF2">
        <w:t>operat</w:t>
      </w:r>
      <w:r w:rsidR="00703280">
        <w:t>ing</w:t>
      </w:r>
      <w:r w:rsidR="00452EC5">
        <w:t xml:space="preserve"> in rather hostile environments </w:t>
      </w:r>
      <w:r w:rsidR="00497EF2">
        <w:t xml:space="preserve">thus many were quick to interpret questions or comments defensively. </w:t>
      </w:r>
      <w:r w:rsidR="00A8298F">
        <w:t>T</w:t>
      </w:r>
      <w:r w:rsidR="00497EF2">
        <w:t>hese groups are</w:t>
      </w:r>
      <w:r w:rsidR="00896E02">
        <w:t xml:space="preserve"> </w:t>
      </w:r>
      <w:r w:rsidR="00703280">
        <w:t xml:space="preserve">also </w:t>
      </w:r>
      <w:r w:rsidR="00896E02">
        <w:t>extremely sensi</w:t>
      </w:r>
      <w:r w:rsidR="004C648F">
        <w:t>tive about</w:t>
      </w:r>
      <w:r w:rsidR="00896E02">
        <w:t xml:space="preserve"> power</w:t>
      </w:r>
      <w:r w:rsidR="00497EF2">
        <w:t xml:space="preserve"> given the emphasis feminism places on deconstructing power and hierarchy</w:t>
      </w:r>
      <w:r w:rsidR="00896E02">
        <w:t>. Thus w</w:t>
      </w:r>
      <w:r w:rsidR="0055164B">
        <w:t>ith many grantees a long trust-building process was required prior to engaging in deeper conversations and in self-reflection.</w:t>
      </w:r>
      <w:r w:rsidR="00452EC5">
        <w:t xml:space="preserve"> </w:t>
      </w:r>
      <w:r w:rsidR="0055164B">
        <w:t>Once the trust-building ha</w:t>
      </w:r>
      <w:r>
        <w:t>d</w:t>
      </w:r>
      <w:r w:rsidR="00BA6928">
        <w:t xml:space="preserve"> taken place, many groups</w:t>
      </w:r>
      <w:r w:rsidR="0055164B">
        <w:t xml:space="preserve"> bec</w:t>
      </w:r>
      <w:r>
        <w:t>a</w:t>
      </w:r>
      <w:r w:rsidR="0055164B">
        <w:t>me gradually more open</w:t>
      </w:r>
      <w:r w:rsidR="00497EF2">
        <w:t xml:space="preserve"> and even invited</w:t>
      </w:r>
      <w:r w:rsidR="0055164B">
        <w:t xml:space="preserve"> discussion. </w:t>
      </w:r>
      <w:r w:rsidR="00D15E12">
        <w:t xml:space="preserve">However, some of our efforts may have been more impactful if we had spent more time on this upfront. </w:t>
      </w:r>
    </w:p>
    <w:p w:rsidR="00192BA0" w:rsidRPr="008F2D85" w:rsidRDefault="00192BA0" w:rsidP="007C5946">
      <w:pPr>
        <w:jc w:val="both"/>
        <w:rPr>
          <w:i/>
        </w:rPr>
      </w:pPr>
      <w:r w:rsidRPr="008F2D85">
        <w:rPr>
          <w:i/>
        </w:rPr>
        <w:t>Di</w:t>
      </w:r>
      <w:r w:rsidR="008259AA">
        <w:rPr>
          <w:i/>
        </w:rPr>
        <w:t>fficulties of transitioning from</w:t>
      </w:r>
      <w:r w:rsidR="00093089">
        <w:rPr>
          <w:i/>
        </w:rPr>
        <w:t xml:space="preserve"> </w:t>
      </w:r>
      <w:r w:rsidR="008259AA">
        <w:rPr>
          <w:i/>
        </w:rPr>
        <w:t xml:space="preserve">small grassroots service provision groups </w:t>
      </w:r>
      <w:r w:rsidRPr="008F2D85">
        <w:rPr>
          <w:i/>
        </w:rPr>
        <w:t>to</w:t>
      </w:r>
      <w:r w:rsidR="007C5946">
        <w:rPr>
          <w:i/>
        </w:rPr>
        <w:t xml:space="preserve"> being able to undertake</w:t>
      </w:r>
      <w:r w:rsidRPr="008F2D85">
        <w:rPr>
          <w:i/>
        </w:rPr>
        <w:t xml:space="preserve"> </w:t>
      </w:r>
      <w:r w:rsidR="008F2D85">
        <w:rPr>
          <w:i/>
        </w:rPr>
        <w:t>legal advocacy work</w:t>
      </w:r>
      <w:r w:rsidR="007C5946" w:rsidRPr="007C5946">
        <w:rPr>
          <w:b/>
        </w:rPr>
        <w:t xml:space="preserve"> </w:t>
      </w:r>
    </w:p>
    <w:p w:rsidR="00D47546" w:rsidRPr="00BC1C66" w:rsidRDefault="00B57793" w:rsidP="00024410">
      <w:pPr>
        <w:jc w:val="both"/>
      </w:pPr>
      <w:r w:rsidRPr="00BC1C66">
        <w:t xml:space="preserve">While a small number of women’s rights groups HRI supported did develop their strategic advocacy capacity very rapidly, the majority of our grantees changed slowly and had difficulty articulating strategies that would result in systemic reform. We believe this had to do partly with the history and identify of these groups as serving victims of violence, and partly with the fact that these groups  often </w:t>
      </w:r>
      <w:r w:rsidR="00293F45" w:rsidRPr="00BC1C66">
        <w:t>felt locked</w:t>
      </w:r>
      <w:r w:rsidRPr="00BC1C66">
        <w:t xml:space="preserve"> into service provision</w:t>
      </w:r>
      <w:r w:rsidR="00293F45" w:rsidRPr="00BC1C66">
        <w:t xml:space="preserve"> focuse</w:t>
      </w:r>
      <w:r w:rsidR="00BC1C66" w:rsidRPr="00BC1C66">
        <w:t>d</w:t>
      </w:r>
      <w:r w:rsidRPr="00BC1C66">
        <w:t xml:space="preserve"> </w:t>
      </w:r>
      <w:r w:rsidR="00293F45" w:rsidRPr="00BC1C66">
        <w:t>given that</w:t>
      </w:r>
      <w:r w:rsidRPr="00BC1C66">
        <w:t xml:space="preserve"> states remained largely reluctant to provide or fund </w:t>
      </w:r>
      <w:r w:rsidR="00293F45" w:rsidRPr="00BC1C66">
        <w:t xml:space="preserve">essential </w:t>
      </w:r>
      <w:r w:rsidRPr="00BC1C66">
        <w:t xml:space="preserve">services </w:t>
      </w:r>
      <w:r w:rsidR="00293F45" w:rsidRPr="00BC1C66">
        <w:t>for</w:t>
      </w:r>
      <w:r w:rsidRPr="00BC1C66">
        <w:t xml:space="preserve"> victims. In fact, some analysts argue that it </w:t>
      </w:r>
      <w:r w:rsidR="00293F45" w:rsidRPr="00BC1C66">
        <w:t>was</w:t>
      </w:r>
      <w:r w:rsidRPr="00BC1C66">
        <w:t xml:space="preserve"> a deliberate strategy f</w:t>
      </w:r>
      <w:r w:rsidR="00293F45" w:rsidRPr="00BC1C66">
        <w:t>or</w:t>
      </w:r>
      <w:r w:rsidRPr="00BC1C66">
        <w:t xml:space="preserve"> states to rely on unpaid or very poorly remuner</w:t>
      </w:r>
      <w:r w:rsidR="007C0BC7">
        <w:t>ated NGO services in this field</w:t>
      </w:r>
      <w:r w:rsidRPr="00BC1C66">
        <w:t xml:space="preserve">. As a result, </w:t>
      </w:r>
      <w:r w:rsidR="00552F35" w:rsidRPr="00BC1C66">
        <w:t>m</w:t>
      </w:r>
      <w:r w:rsidR="005D127F" w:rsidRPr="00BC1C66">
        <w:t>any</w:t>
      </w:r>
      <w:r w:rsidR="00552F35" w:rsidRPr="00BC1C66">
        <w:t xml:space="preserve"> of our grantees</w:t>
      </w:r>
      <w:r w:rsidR="005D127F" w:rsidRPr="00BC1C66">
        <w:t xml:space="preserve"> grappled with </w:t>
      </w:r>
      <w:r w:rsidR="00552F35" w:rsidRPr="00BC1C66">
        <w:t>balancing</w:t>
      </w:r>
      <w:r w:rsidR="005D127F" w:rsidRPr="00BC1C66">
        <w:t xml:space="preserve"> </w:t>
      </w:r>
      <w:r w:rsidR="00552F35" w:rsidRPr="00BC1C66">
        <w:t xml:space="preserve">immediate </w:t>
      </w:r>
      <w:r w:rsidR="005D127F" w:rsidRPr="00BC1C66">
        <w:t>demands from clients for continued service provision with the need to</w:t>
      </w:r>
      <w:r w:rsidR="00552F35" w:rsidRPr="00BC1C66">
        <w:t xml:space="preserve"> devote some resources </w:t>
      </w:r>
      <w:r w:rsidR="00570F2F" w:rsidRPr="00BC1C66">
        <w:t>to strategic</w:t>
      </w:r>
      <w:r w:rsidR="00552F35" w:rsidRPr="00BC1C66">
        <w:t xml:space="preserve"> efforts that could have more systemic impact.</w:t>
      </w:r>
      <w:r w:rsidR="005D127F" w:rsidRPr="00BC1C66">
        <w:t xml:space="preserve"> </w:t>
      </w:r>
      <w:r w:rsidR="00552F35" w:rsidRPr="00BC1C66">
        <w:t>In our</w:t>
      </w:r>
      <w:r w:rsidR="002D1109" w:rsidRPr="00BC1C66">
        <w:t xml:space="preserve"> approach</w:t>
      </w:r>
      <w:r w:rsidR="00552F35" w:rsidRPr="00BC1C66">
        <w:t xml:space="preserve"> to working with the groups we acknowledged these challenges and recognized that development of strategic advocacy would be slow and require long term, multi-year investments</w:t>
      </w:r>
      <w:r w:rsidR="007C5946" w:rsidRPr="00BC1C66">
        <w:t>. This approach has paid</w:t>
      </w:r>
      <w:r w:rsidR="002D1109" w:rsidRPr="00BC1C66">
        <w:t xml:space="preserve"> off</w:t>
      </w:r>
      <w:r w:rsidR="007C5946" w:rsidRPr="00BC1C66">
        <w:t xml:space="preserve"> </w:t>
      </w:r>
      <w:r w:rsidR="00570F2F" w:rsidRPr="00BC1C66">
        <w:t>and in</w:t>
      </w:r>
      <w:r w:rsidR="002D1109" w:rsidRPr="00BC1C66">
        <w:t xml:space="preserve"> most cases </w:t>
      </w:r>
      <w:r w:rsidR="007C5946" w:rsidRPr="00BC1C66">
        <w:t xml:space="preserve">the groups we </w:t>
      </w:r>
      <w:r w:rsidR="002D1109" w:rsidRPr="00BC1C66">
        <w:t>invest</w:t>
      </w:r>
      <w:r w:rsidR="007C5946" w:rsidRPr="00BC1C66">
        <w:t>ed</w:t>
      </w:r>
      <w:r w:rsidR="00AF6D04" w:rsidRPr="00BC1C66">
        <w:t xml:space="preserve"> in</w:t>
      </w:r>
      <w:r w:rsidR="007C5946" w:rsidRPr="00BC1C66">
        <w:t xml:space="preserve"> can now </w:t>
      </w:r>
      <w:r w:rsidR="00570F2F" w:rsidRPr="00BC1C66">
        <w:t>carry out</w:t>
      </w:r>
      <w:r w:rsidR="007C5946" w:rsidRPr="00BC1C66">
        <w:t xml:space="preserve"> the kind of strategic advocacy we</w:t>
      </w:r>
      <w:r w:rsidR="005B0B10" w:rsidRPr="00BC1C66">
        <w:t xml:space="preserve"> hoped they would be capable of</w:t>
      </w:r>
      <w:r w:rsidRPr="00BC1C66">
        <w:t>, even though many of them continue to struggle with overload and burnout issues as a result of the underfunding from state actors and continued pressure to sustain services</w:t>
      </w:r>
      <w:r w:rsidR="002D1109" w:rsidRPr="00BC1C66">
        <w:t>.</w:t>
      </w:r>
      <w:r w:rsidR="009735BD" w:rsidRPr="00BC1C66">
        <w:t xml:space="preserve"> </w:t>
      </w:r>
    </w:p>
    <w:p w:rsidR="005D127F" w:rsidRPr="00BC1C66" w:rsidRDefault="00293F45" w:rsidP="00024410">
      <w:pPr>
        <w:jc w:val="both"/>
      </w:pPr>
      <w:r w:rsidRPr="00BC1C66">
        <w:t>Additionally, m</w:t>
      </w:r>
      <w:r w:rsidR="009735BD" w:rsidRPr="00BC1C66">
        <w:t xml:space="preserve">any women’s rights groups </w:t>
      </w:r>
      <w:r w:rsidR="003F0832" w:rsidRPr="00BC1C66">
        <w:t>did not know how to use their advocacy work to empower their clients in efforts to build public awareness and support. So for example, the</w:t>
      </w:r>
      <w:r w:rsidR="009735BD" w:rsidRPr="00BC1C66">
        <w:t xml:space="preserve"> focus</w:t>
      </w:r>
      <w:r w:rsidR="003F0832" w:rsidRPr="00BC1C66">
        <w:t xml:space="preserve"> was</w:t>
      </w:r>
      <w:r w:rsidR="009735BD" w:rsidRPr="00BC1C66">
        <w:t xml:space="preserve"> </w:t>
      </w:r>
      <w:r w:rsidR="003F0832" w:rsidRPr="00BC1C66">
        <w:t xml:space="preserve">often </w:t>
      </w:r>
      <w:r w:rsidR="009735BD" w:rsidRPr="00BC1C66">
        <w:t>on protecting their clients</w:t>
      </w:r>
      <w:r w:rsidR="00497EF2" w:rsidRPr="00BC1C66">
        <w:t>’</w:t>
      </w:r>
      <w:r w:rsidR="009735BD" w:rsidRPr="00BC1C66">
        <w:t xml:space="preserve"> identity</w:t>
      </w:r>
      <w:r w:rsidR="003F0832" w:rsidRPr="00BC1C66">
        <w:t xml:space="preserve"> and security</w:t>
      </w:r>
      <w:r w:rsidR="008F2D85" w:rsidRPr="00BC1C66">
        <w:t>,</w:t>
      </w:r>
      <w:r w:rsidR="009735BD" w:rsidRPr="00BC1C66">
        <w:t xml:space="preserve"> which </w:t>
      </w:r>
      <w:r w:rsidR="003F0832" w:rsidRPr="00BC1C66">
        <w:t xml:space="preserve">while </w:t>
      </w:r>
      <w:r w:rsidR="00C1271B" w:rsidRPr="00BC1C66">
        <w:t>undoubtedly</w:t>
      </w:r>
      <w:r w:rsidR="003F0832" w:rsidRPr="00BC1C66">
        <w:t xml:space="preserve"> important, at times </w:t>
      </w:r>
      <w:r w:rsidR="00C1271B" w:rsidRPr="00BC1C66">
        <w:t>caused</w:t>
      </w:r>
      <w:r w:rsidR="003F0832" w:rsidRPr="00BC1C66">
        <w:t xml:space="preserve"> them to </w:t>
      </w:r>
      <w:r w:rsidR="00C1271B" w:rsidRPr="00BC1C66">
        <w:t>be overly</w:t>
      </w:r>
      <w:r w:rsidR="000C5807" w:rsidRPr="00BC1C66">
        <w:t xml:space="preserve"> protective of the clients</w:t>
      </w:r>
      <w:r w:rsidR="003F0832" w:rsidRPr="00BC1C66">
        <w:t>. This</w:t>
      </w:r>
      <w:r w:rsidR="000C5807" w:rsidRPr="00BC1C66">
        <w:t xml:space="preserve"> made strategic litigation as well as media representation a challenge. </w:t>
      </w:r>
      <w:r w:rsidR="003F0832" w:rsidRPr="00BC1C66">
        <w:t>Often t</w:t>
      </w:r>
      <w:r w:rsidR="000C5807" w:rsidRPr="00BC1C66">
        <w:t>hei</w:t>
      </w:r>
      <w:r w:rsidR="009735BD" w:rsidRPr="00BC1C66">
        <w:t>r media strategy w</w:t>
      </w:r>
      <w:r w:rsidR="00A20FF6" w:rsidRPr="00BC1C66">
        <w:t xml:space="preserve">as built on banning </w:t>
      </w:r>
      <w:r w:rsidR="00206FA7" w:rsidRPr="00BC1C66">
        <w:t xml:space="preserve">media </w:t>
      </w:r>
      <w:r w:rsidR="00A20FF6" w:rsidRPr="00BC1C66">
        <w:t xml:space="preserve">access to </w:t>
      </w:r>
      <w:r w:rsidR="009735BD" w:rsidRPr="00BC1C66">
        <w:t>clients</w:t>
      </w:r>
      <w:r w:rsidR="00A20FF6" w:rsidRPr="00BC1C66">
        <w:t xml:space="preserve"> completely</w:t>
      </w:r>
      <w:r w:rsidR="009735BD" w:rsidRPr="00BC1C66">
        <w:t>. Even recovering victims who wanted to share their stories</w:t>
      </w:r>
      <w:r w:rsidR="00206FA7" w:rsidRPr="00BC1C66">
        <w:t xml:space="preserve"> </w:t>
      </w:r>
      <w:r w:rsidR="00A20FF6" w:rsidRPr="00BC1C66">
        <w:t>were</w:t>
      </w:r>
      <w:r w:rsidR="009735BD" w:rsidRPr="00BC1C66">
        <w:t xml:space="preserve"> dissuaded from talking to the media. </w:t>
      </w:r>
      <w:r w:rsidR="00D47546" w:rsidRPr="00BC1C66">
        <w:t xml:space="preserve"> </w:t>
      </w:r>
      <w:r w:rsidR="009735BD" w:rsidRPr="00BC1C66">
        <w:t>It took years for women’</w:t>
      </w:r>
      <w:r w:rsidR="008C7DE2" w:rsidRPr="00BC1C66">
        <w:t xml:space="preserve">s </w:t>
      </w:r>
      <w:r w:rsidR="003F0832" w:rsidRPr="00BC1C66">
        <w:t xml:space="preserve">rights </w:t>
      </w:r>
      <w:r w:rsidR="008C7DE2" w:rsidRPr="00BC1C66">
        <w:t xml:space="preserve">groups to </w:t>
      </w:r>
      <w:r w:rsidR="006645FB" w:rsidRPr="00BC1C66">
        <w:t>learn</w:t>
      </w:r>
      <w:r w:rsidR="003F0832" w:rsidRPr="00BC1C66">
        <w:t xml:space="preserve"> to shift this approach and instead</w:t>
      </w:r>
      <w:r w:rsidR="006645FB" w:rsidRPr="00BC1C66">
        <w:t xml:space="preserve"> to prepare</w:t>
      </w:r>
      <w:r w:rsidR="008C7DE2" w:rsidRPr="00BC1C66">
        <w:t xml:space="preserve"> </w:t>
      </w:r>
      <w:r w:rsidR="00A20FF6" w:rsidRPr="00BC1C66">
        <w:t xml:space="preserve">victims </w:t>
      </w:r>
      <w:r w:rsidR="008C7DE2" w:rsidRPr="00BC1C66">
        <w:t xml:space="preserve">for working with journalists </w:t>
      </w:r>
      <w:r w:rsidR="00D47546" w:rsidRPr="00BC1C66">
        <w:t xml:space="preserve">and for working with the authorities </w:t>
      </w:r>
      <w:r w:rsidR="008C7DE2" w:rsidRPr="00BC1C66">
        <w:t>that minim</w:t>
      </w:r>
      <w:r w:rsidR="00A20FF6" w:rsidRPr="00BC1C66">
        <w:t xml:space="preserve">ize the risk while allowing </w:t>
      </w:r>
      <w:r w:rsidR="00D47546" w:rsidRPr="00BC1C66">
        <w:t xml:space="preserve">the strategic cases to reach the courts and the </w:t>
      </w:r>
      <w:r w:rsidR="00A20FF6" w:rsidRPr="00BC1C66">
        <w:t xml:space="preserve">public to get to know the </w:t>
      </w:r>
      <w:r w:rsidR="008C7DE2" w:rsidRPr="00BC1C66">
        <w:t>stories of survival and recovery.</w:t>
      </w:r>
    </w:p>
    <w:p w:rsidR="00EA1FF9" w:rsidRPr="00BC1C66" w:rsidRDefault="003D2721" w:rsidP="00024410">
      <w:pPr>
        <w:jc w:val="both"/>
        <w:rPr>
          <w:i/>
        </w:rPr>
      </w:pPr>
      <w:r w:rsidRPr="00BC1C66">
        <w:rPr>
          <w:i/>
        </w:rPr>
        <w:t xml:space="preserve">Domestic violence advocacy did not result in strong women’s rights movements </w:t>
      </w:r>
      <w:r w:rsidR="00607FB7" w:rsidRPr="00BC1C66">
        <w:rPr>
          <w:i/>
        </w:rPr>
        <w:t xml:space="preserve"> </w:t>
      </w:r>
    </w:p>
    <w:p w:rsidR="004B483B" w:rsidRDefault="009554C6" w:rsidP="00024410">
      <w:pPr>
        <w:jc w:val="both"/>
      </w:pPr>
      <w:r w:rsidRPr="00BC1C66">
        <w:t xml:space="preserve">Even though our women’s rights strategy did not </w:t>
      </w:r>
      <w:r w:rsidR="00624C95" w:rsidRPr="00BC1C66">
        <w:t>have</w:t>
      </w:r>
      <w:r w:rsidR="00DF3F38" w:rsidRPr="00BC1C66">
        <w:t xml:space="preserve"> an</w:t>
      </w:r>
      <w:r w:rsidR="00624C95" w:rsidRPr="00BC1C66">
        <w:t xml:space="preserve"> explicit</w:t>
      </w:r>
      <w:r w:rsidR="00EA1FF9" w:rsidRPr="00BC1C66">
        <w:t xml:space="preserve"> </w:t>
      </w:r>
      <w:r w:rsidRPr="00BC1C66">
        <w:t xml:space="preserve">movement-building component, we were hoping that </w:t>
      </w:r>
      <w:r w:rsidR="004C039D" w:rsidRPr="00BC1C66">
        <w:t>by funding core women’s</w:t>
      </w:r>
      <w:r w:rsidR="00A506CD" w:rsidRPr="00BC1C66">
        <w:t xml:space="preserve"> rights</w:t>
      </w:r>
      <w:r w:rsidR="004C039D" w:rsidRPr="00BC1C66">
        <w:t xml:space="preserve"> groups</w:t>
      </w:r>
      <w:r w:rsidR="00A506CD" w:rsidRPr="00BC1C66">
        <w:t xml:space="preserve"> </w:t>
      </w:r>
      <w:r w:rsidR="004C039D" w:rsidRPr="00BC1C66">
        <w:t>we would indirectly contribute to the</w:t>
      </w:r>
      <w:r w:rsidR="00A506CD" w:rsidRPr="00BC1C66">
        <w:t xml:space="preserve"> overall</w:t>
      </w:r>
      <w:r w:rsidR="004C039D" w:rsidRPr="00BC1C66">
        <w:t xml:space="preserve"> growth of the women’s</w:t>
      </w:r>
      <w:r w:rsidR="00A506CD" w:rsidRPr="00BC1C66">
        <w:t xml:space="preserve"> </w:t>
      </w:r>
      <w:r w:rsidR="00570F2F" w:rsidRPr="00BC1C66">
        <w:t>rights movement</w:t>
      </w:r>
      <w:r w:rsidR="00607FB7" w:rsidRPr="00BC1C66">
        <w:t>s</w:t>
      </w:r>
      <w:r w:rsidRPr="00BC1C66">
        <w:t>.</w:t>
      </w:r>
      <w:r w:rsidR="00A506CD" w:rsidRPr="00BC1C66">
        <w:t xml:space="preserve"> </w:t>
      </w:r>
      <w:r w:rsidR="004602A4" w:rsidRPr="00BC1C66">
        <w:t>Although</w:t>
      </w:r>
      <w:r w:rsidR="000C5807" w:rsidRPr="00BC1C66">
        <w:t xml:space="preserve"> t</w:t>
      </w:r>
      <w:r w:rsidR="006A05E2" w:rsidRPr="00BC1C66">
        <w:t>he women’s rights groups we supported have become</w:t>
      </w:r>
      <w:r w:rsidR="004602A4" w:rsidRPr="00BC1C66">
        <w:t xml:space="preserve"> </w:t>
      </w:r>
      <w:r w:rsidR="00607FB7" w:rsidRPr="00BC1C66">
        <w:t xml:space="preserve">visible and </w:t>
      </w:r>
      <w:r w:rsidR="00293F45" w:rsidRPr="00BC1C66">
        <w:t xml:space="preserve">in many cases </w:t>
      </w:r>
      <w:r w:rsidR="00607FB7" w:rsidRPr="00BC1C66">
        <w:t>have</w:t>
      </w:r>
      <w:r w:rsidR="006A05E2" w:rsidRPr="00BC1C66">
        <w:t xml:space="preserve"> </w:t>
      </w:r>
      <w:r w:rsidR="00607FB7" w:rsidRPr="00BC1C66">
        <w:t>i</w:t>
      </w:r>
      <w:r w:rsidR="00293F45" w:rsidRPr="00BC1C66">
        <w:t>mproved</w:t>
      </w:r>
      <w:r w:rsidR="000C5807" w:rsidRPr="00BC1C66">
        <w:t xml:space="preserve"> </w:t>
      </w:r>
      <w:r w:rsidR="006A05E2" w:rsidRPr="00BC1C66">
        <w:t xml:space="preserve">public </w:t>
      </w:r>
      <w:r w:rsidR="000C5807" w:rsidRPr="00BC1C66">
        <w:t xml:space="preserve">awareness </w:t>
      </w:r>
      <w:r w:rsidR="00607FB7" w:rsidRPr="00BC1C66">
        <w:t>o</w:t>
      </w:r>
      <w:r w:rsidR="00293F45" w:rsidRPr="00BC1C66">
        <w:t>f the problem of</w:t>
      </w:r>
      <w:r w:rsidR="00607FB7" w:rsidRPr="00BC1C66">
        <w:t xml:space="preserve"> domestic violence</w:t>
      </w:r>
      <w:r w:rsidR="006A05E2" w:rsidRPr="00BC1C66">
        <w:t>, this has not resulted in bigger women’s movements or necessarily in a greater capacity to mobilize the public.</w:t>
      </w:r>
      <w:r w:rsidR="004602A4" w:rsidRPr="00BC1C66">
        <w:t xml:space="preserve"> The size of the women’s rights movements in the countries where we supported this work did not change considerably in terms of the number of activists </w:t>
      </w:r>
      <w:r w:rsidR="00293F45" w:rsidRPr="00BC1C66">
        <w:t>prepared to take action</w:t>
      </w:r>
      <w:r w:rsidR="004602A4" w:rsidRPr="00BC1C66">
        <w:t xml:space="preserve"> or the number of active supporters. For example, only about twenty people attended a recent demonstration to protest violence against women in Yerevan, and these numbers are not dissimilar to what we see in other countries</w:t>
      </w:r>
      <w:r w:rsidR="004F7229">
        <w:t>. Women’s</w:t>
      </w:r>
      <w:r w:rsidR="004602A4" w:rsidRPr="00BC1C66">
        <w:t xml:space="preserve"> rights groups typically did not have conscious movement-building strategies, and our funding did not prioritize this work either. </w:t>
      </w:r>
      <w:r w:rsidR="00607FB7" w:rsidRPr="00BC1C66">
        <w:t xml:space="preserve">Although there are social and historical reasons behind the lack of massive women’s movements, arguably, conscious movement-building strategies </w:t>
      </w:r>
      <w:r w:rsidR="00293F45" w:rsidRPr="00BC1C66">
        <w:t>would</w:t>
      </w:r>
      <w:r w:rsidR="00607FB7" w:rsidRPr="00BC1C66">
        <w:t xml:space="preserve"> have been useful. </w:t>
      </w:r>
      <w:r w:rsidR="003D2721" w:rsidRPr="00BC1C66">
        <w:t xml:space="preserve">The absence of strong women’s rights movements in the region means that not only will it continue to be difficult to sustain strong government support for committing the resources needed to implement domestic violence laws, but it will also be hard </w:t>
      </w:r>
      <w:r w:rsidR="000B2C38">
        <w:t xml:space="preserve">to </w:t>
      </w:r>
      <w:r w:rsidR="003D2721" w:rsidRPr="00BC1C66">
        <w:t xml:space="preserve">push back against other efforts to undermine women’s rights, particularly in controversial areas like reproductive rights.  </w:t>
      </w:r>
      <w:r w:rsidR="00182DFA" w:rsidRPr="00BC1C66">
        <w:t>If donors want to contribute to movement</w:t>
      </w:r>
      <w:r w:rsidR="00607FB7" w:rsidRPr="00BC1C66">
        <w:t xml:space="preserve"> building</w:t>
      </w:r>
      <w:r w:rsidR="00182DFA" w:rsidRPr="00BC1C66">
        <w:t>,</w:t>
      </w:r>
      <w:r w:rsidR="0004545F" w:rsidRPr="00BC1C66">
        <w:t xml:space="preserve"> this needs to be integrated into the grant-making strategy from the start with recognition that support for this part of t</w:t>
      </w:r>
      <w:r w:rsidR="001C14D8" w:rsidRPr="00BC1C66">
        <w:t>he work</w:t>
      </w:r>
      <w:r w:rsidR="0004545F" w:rsidRPr="00BC1C66">
        <w:t xml:space="preserve"> will require the development of new skills the same way as legal advocacy </w:t>
      </w:r>
      <w:r w:rsidR="006A05E2" w:rsidRPr="00BC1C66">
        <w:t>requires new skills.</w:t>
      </w:r>
      <w:r w:rsidR="00607FB7" w:rsidRPr="00BC1C66">
        <w:t xml:space="preserve"> </w:t>
      </w:r>
    </w:p>
    <w:p w:rsidR="00820DA6" w:rsidRDefault="00820DA6"/>
    <w:p w:rsidR="008C3878" w:rsidRDefault="008C3878"/>
    <w:p w:rsidR="008C3878" w:rsidRDefault="008C3878">
      <w:pPr>
        <w:sectPr w:rsidR="008C3878" w:rsidSect="00820DA6">
          <w:footerReference w:type="default" r:id="rId9"/>
          <w:pgSz w:w="12240" w:h="15840" w:code="1"/>
          <w:pgMar w:top="1440" w:right="1440" w:bottom="1440" w:left="1440" w:header="720" w:footer="720" w:gutter="0"/>
          <w:cols w:space="720"/>
          <w:docGrid w:linePitch="360"/>
        </w:sectPr>
      </w:pPr>
    </w:p>
    <w:p w:rsidR="00036F34" w:rsidRPr="00A25FF4" w:rsidRDefault="00036F34" w:rsidP="00CB6F1A">
      <w:pPr>
        <w:jc w:val="both"/>
        <w:rPr>
          <w:b/>
          <w:noProof/>
          <w:sz w:val="28"/>
          <w:szCs w:val="28"/>
        </w:rPr>
      </w:pPr>
      <w:r w:rsidRPr="00A25FF4">
        <w:rPr>
          <w:b/>
          <w:noProof/>
          <w:sz w:val="28"/>
          <w:szCs w:val="28"/>
        </w:rPr>
        <w:t>APPENDIX</w:t>
      </w:r>
    </w:p>
    <w:p w:rsidR="00036F34" w:rsidRPr="00052BFC" w:rsidRDefault="00036F34" w:rsidP="00036F34">
      <w:pPr>
        <w:spacing w:after="0" w:line="240" w:lineRule="auto"/>
        <w:jc w:val="center"/>
        <w:rPr>
          <w:b/>
          <w:sz w:val="28"/>
          <w:szCs w:val="28"/>
        </w:rPr>
      </w:pPr>
      <w:r w:rsidRPr="00052BFC">
        <w:rPr>
          <w:b/>
          <w:sz w:val="28"/>
          <w:szCs w:val="28"/>
        </w:rPr>
        <w:t>Grants Addressing Domestic Violence, 2013-2014</w:t>
      </w:r>
    </w:p>
    <w:p w:rsidR="00820DA6" w:rsidRDefault="00820DA6" w:rsidP="00036F34">
      <w:pPr>
        <w:spacing w:after="0" w:line="240" w:lineRule="auto"/>
        <w:jc w:val="center"/>
        <w:rPr>
          <w:sz w:val="24"/>
          <w:szCs w:val="24"/>
        </w:rPr>
      </w:pPr>
    </w:p>
    <w:p w:rsidR="00036F34" w:rsidRPr="00820DA6" w:rsidRDefault="00036F34" w:rsidP="00036F34">
      <w:pPr>
        <w:spacing w:after="0" w:line="240" w:lineRule="auto"/>
        <w:jc w:val="center"/>
        <w:rPr>
          <w:sz w:val="24"/>
          <w:szCs w:val="24"/>
        </w:rPr>
      </w:pPr>
      <w:r w:rsidRPr="00820DA6">
        <w:rPr>
          <w:sz w:val="24"/>
          <w:szCs w:val="24"/>
        </w:rPr>
        <w:t>Total amount: $ 2,361,530</w:t>
      </w:r>
    </w:p>
    <w:p w:rsidR="00820DA6" w:rsidRDefault="00820DA6" w:rsidP="00820DA6">
      <w:pPr>
        <w:spacing w:after="0" w:line="240" w:lineRule="auto"/>
        <w:jc w:val="center"/>
        <w:rPr>
          <w:sz w:val="20"/>
          <w:szCs w:val="20"/>
        </w:rPr>
      </w:pPr>
    </w:p>
    <w:p w:rsidR="00820DA6" w:rsidRDefault="00820DA6" w:rsidP="00C22924">
      <w:pPr>
        <w:spacing w:after="0" w:line="240" w:lineRule="auto"/>
        <w:jc w:val="center"/>
        <w:rPr>
          <w:sz w:val="20"/>
          <w:szCs w:val="20"/>
        </w:rPr>
      </w:pPr>
    </w:p>
    <w:p w:rsidR="00820DA6" w:rsidRDefault="00820DA6" w:rsidP="00C22924">
      <w:pPr>
        <w:spacing w:after="0" w:line="240" w:lineRule="auto"/>
        <w:jc w:val="center"/>
        <w:rPr>
          <w:b/>
          <w:sz w:val="20"/>
          <w:szCs w:val="20"/>
        </w:rPr>
      </w:pPr>
    </w:p>
    <w:p w:rsidR="00036F34" w:rsidRDefault="00820DA6" w:rsidP="00C22924">
      <w:pPr>
        <w:spacing w:after="0" w:line="240" w:lineRule="auto"/>
        <w:jc w:val="center"/>
        <w:rPr>
          <w:b/>
          <w:sz w:val="20"/>
          <w:szCs w:val="20"/>
        </w:rPr>
      </w:pPr>
      <w:r>
        <w:rPr>
          <w:noProof/>
        </w:rPr>
        <w:drawing>
          <wp:inline distT="0" distB="0" distL="0" distR="0" wp14:anchorId="6FCAA740" wp14:editId="4C7F3D95">
            <wp:extent cx="6115050" cy="3886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20DA6" w:rsidRDefault="00820DA6" w:rsidP="00C22924">
      <w:pPr>
        <w:spacing w:after="0" w:line="240" w:lineRule="auto"/>
        <w:jc w:val="center"/>
        <w:rPr>
          <w:b/>
          <w:sz w:val="20"/>
          <w:szCs w:val="20"/>
        </w:rPr>
      </w:pPr>
    </w:p>
    <w:p w:rsidR="00820DA6" w:rsidRDefault="00820DA6" w:rsidP="00C22924">
      <w:pPr>
        <w:spacing w:after="0" w:line="240" w:lineRule="auto"/>
        <w:jc w:val="center"/>
        <w:rPr>
          <w:b/>
          <w:sz w:val="20"/>
          <w:szCs w:val="20"/>
        </w:rPr>
      </w:pPr>
    </w:p>
    <w:p w:rsidR="00820DA6" w:rsidRDefault="00820DA6" w:rsidP="00820DA6">
      <w:pPr>
        <w:spacing w:after="0" w:line="240" w:lineRule="auto"/>
        <w:jc w:val="center"/>
        <w:rPr>
          <w:b/>
          <w:sz w:val="20"/>
          <w:szCs w:val="20"/>
        </w:rPr>
      </w:pPr>
      <w:r>
        <w:rPr>
          <w:noProof/>
        </w:rPr>
        <w:drawing>
          <wp:inline distT="0" distB="0" distL="0" distR="0" wp14:anchorId="4CD947B1" wp14:editId="46A033AE">
            <wp:extent cx="6153150" cy="216217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sectPr w:rsidR="00820DA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C5A" w:rsidRDefault="00CF4C5A" w:rsidP="00820DA6">
      <w:pPr>
        <w:spacing w:after="0" w:line="240" w:lineRule="auto"/>
      </w:pPr>
      <w:r>
        <w:separator/>
      </w:r>
    </w:p>
  </w:endnote>
  <w:endnote w:type="continuationSeparator" w:id="0">
    <w:p w:rsidR="00CF4C5A" w:rsidRDefault="00CF4C5A" w:rsidP="00820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38656"/>
      <w:docPartObj>
        <w:docPartGallery w:val="Page Numbers (Bottom of Page)"/>
        <w:docPartUnique/>
      </w:docPartObj>
    </w:sdtPr>
    <w:sdtEndPr>
      <w:rPr>
        <w:noProof/>
      </w:rPr>
    </w:sdtEndPr>
    <w:sdtContent>
      <w:p w:rsidR="00D068D2" w:rsidRDefault="00D068D2">
        <w:pPr>
          <w:pStyle w:val="Footer"/>
          <w:jc w:val="center"/>
        </w:pPr>
        <w:r>
          <w:fldChar w:fldCharType="begin"/>
        </w:r>
        <w:r>
          <w:instrText xml:space="preserve"> PAGE   \* MERGEFORMAT </w:instrText>
        </w:r>
        <w:r>
          <w:fldChar w:fldCharType="separate"/>
        </w:r>
        <w:r w:rsidR="00A764A4">
          <w:rPr>
            <w:noProof/>
          </w:rPr>
          <w:t>1</w:t>
        </w:r>
        <w:r>
          <w:rPr>
            <w:noProof/>
          </w:rPr>
          <w:fldChar w:fldCharType="end"/>
        </w:r>
      </w:p>
    </w:sdtContent>
  </w:sdt>
  <w:p w:rsidR="00820DA6" w:rsidRDefault="00820D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8D2" w:rsidRDefault="00D068D2">
    <w:pPr>
      <w:pStyle w:val="Footer"/>
      <w:jc w:val="center"/>
    </w:pPr>
  </w:p>
  <w:p w:rsidR="00D068D2" w:rsidRDefault="00D06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C5A" w:rsidRDefault="00CF4C5A" w:rsidP="00820DA6">
      <w:pPr>
        <w:spacing w:after="0" w:line="240" w:lineRule="auto"/>
      </w:pPr>
      <w:r>
        <w:separator/>
      </w:r>
    </w:p>
  </w:footnote>
  <w:footnote w:type="continuationSeparator" w:id="0">
    <w:p w:rsidR="00CF4C5A" w:rsidRDefault="00CF4C5A" w:rsidP="00820D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035CC"/>
    <w:multiLevelType w:val="hybridMultilevel"/>
    <w:tmpl w:val="5E240104"/>
    <w:lvl w:ilvl="0" w:tplc="CCA8E3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2D714D"/>
    <w:multiLevelType w:val="hybridMultilevel"/>
    <w:tmpl w:val="3A844418"/>
    <w:lvl w:ilvl="0" w:tplc="3626C4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51D"/>
    <w:rsid w:val="0000127B"/>
    <w:rsid w:val="00013191"/>
    <w:rsid w:val="0001513D"/>
    <w:rsid w:val="00015BAF"/>
    <w:rsid w:val="0001665F"/>
    <w:rsid w:val="00022B90"/>
    <w:rsid w:val="00024410"/>
    <w:rsid w:val="0002530E"/>
    <w:rsid w:val="000307E7"/>
    <w:rsid w:val="00036A1C"/>
    <w:rsid w:val="00036F34"/>
    <w:rsid w:val="000437D5"/>
    <w:rsid w:val="000444E0"/>
    <w:rsid w:val="0004545F"/>
    <w:rsid w:val="00046A7E"/>
    <w:rsid w:val="00052B65"/>
    <w:rsid w:val="00052BFC"/>
    <w:rsid w:val="0005417F"/>
    <w:rsid w:val="00056C60"/>
    <w:rsid w:val="00061C92"/>
    <w:rsid w:val="000623F4"/>
    <w:rsid w:val="00066150"/>
    <w:rsid w:val="000664A4"/>
    <w:rsid w:val="0007183C"/>
    <w:rsid w:val="00072485"/>
    <w:rsid w:val="00077EB9"/>
    <w:rsid w:val="0008578E"/>
    <w:rsid w:val="00093089"/>
    <w:rsid w:val="000A671C"/>
    <w:rsid w:val="000B2C38"/>
    <w:rsid w:val="000B40FB"/>
    <w:rsid w:val="000C0676"/>
    <w:rsid w:val="000C5807"/>
    <w:rsid w:val="000C6382"/>
    <w:rsid w:val="000C659D"/>
    <w:rsid w:val="000D088F"/>
    <w:rsid w:val="000E07CF"/>
    <w:rsid w:val="000E1A39"/>
    <w:rsid w:val="000E5931"/>
    <w:rsid w:val="000F6A2A"/>
    <w:rsid w:val="00103077"/>
    <w:rsid w:val="00105D5D"/>
    <w:rsid w:val="001066BD"/>
    <w:rsid w:val="001076C6"/>
    <w:rsid w:val="00111592"/>
    <w:rsid w:val="0011444A"/>
    <w:rsid w:val="00121764"/>
    <w:rsid w:val="00124129"/>
    <w:rsid w:val="00124BD3"/>
    <w:rsid w:val="00125616"/>
    <w:rsid w:val="001271CA"/>
    <w:rsid w:val="00134D34"/>
    <w:rsid w:val="00135933"/>
    <w:rsid w:val="00136D82"/>
    <w:rsid w:val="001415C7"/>
    <w:rsid w:val="001558E4"/>
    <w:rsid w:val="00160DEA"/>
    <w:rsid w:val="001736C7"/>
    <w:rsid w:val="0017715D"/>
    <w:rsid w:val="00177350"/>
    <w:rsid w:val="00177FAD"/>
    <w:rsid w:val="00180A9E"/>
    <w:rsid w:val="00180EDA"/>
    <w:rsid w:val="00182131"/>
    <w:rsid w:val="00182DFA"/>
    <w:rsid w:val="00183175"/>
    <w:rsid w:val="00185BAA"/>
    <w:rsid w:val="00192BA0"/>
    <w:rsid w:val="00197546"/>
    <w:rsid w:val="001A102A"/>
    <w:rsid w:val="001A28A3"/>
    <w:rsid w:val="001A3BBF"/>
    <w:rsid w:val="001A3C8F"/>
    <w:rsid w:val="001A64FC"/>
    <w:rsid w:val="001B1F85"/>
    <w:rsid w:val="001B22D5"/>
    <w:rsid w:val="001C0BA0"/>
    <w:rsid w:val="001C14D8"/>
    <w:rsid w:val="001C2CF8"/>
    <w:rsid w:val="001C3BF8"/>
    <w:rsid w:val="001C5F47"/>
    <w:rsid w:val="001D172D"/>
    <w:rsid w:val="001D277D"/>
    <w:rsid w:val="001D7CC7"/>
    <w:rsid w:val="001E0941"/>
    <w:rsid w:val="001E138C"/>
    <w:rsid w:val="001E4CDB"/>
    <w:rsid w:val="001E62F2"/>
    <w:rsid w:val="001E69FD"/>
    <w:rsid w:val="001E7574"/>
    <w:rsid w:val="001F22D8"/>
    <w:rsid w:val="002029BB"/>
    <w:rsid w:val="00206FA7"/>
    <w:rsid w:val="0021752B"/>
    <w:rsid w:val="00223FB7"/>
    <w:rsid w:val="00231E82"/>
    <w:rsid w:val="00251F97"/>
    <w:rsid w:val="002523AB"/>
    <w:rsid w:val="002549A3"/>
    <w:rsid w:val="002618E0"/>
    <w:rsid w:val="0026368B"/>
    <w:rsid w:val="00266821"/>
    <w:rsid w:val="00266C8E"/>
    <w:rsid w:val="00267085"/>
    <w:rsid w:val="00277AD9"/>
    <w:rsid w:val="00281D3C"/>
    <w:rsid w:val="00281F66"/>
    <w:rsid w:val="002876F5"/>
    <w:rsid w:val="002913BC"/>
    <w:rsid w:val="00291E8C"/>
    <w:rsid w:val="0029369A"/>
    <w:rsid w:val="002936E2"/>
    <w:rsid w:val="00293F45"/>
    <w:rsid w:val="002943DE"/>
    <w:rsid w:val="00295F74"/>
    <w:rsid w:val="00296536"/>
    <w:rsid w:val="002A08AD"/>
    <w:rsid w:val="002A5086"/>
    <w:rsid w:val="002A6D96"/>
    <w:rsid w:val="002A7957"/>
    <w:rsid w:val="002C171E"/>
    <w:rsid w:val="002C2EAD"/>
    <w:rsid w:val="002C3A11"/>
    <w:rsid w:val="002D1109"/>
    <w:rsid w:val="002D2647"/>
    <w:rsid w:val="002D3EEB"/>
    <w:rsid w:val="002E3FA3"/>
    <w:rsid w:val="002F05AE"/>
    <w:rsid w:val="002F6EE1"/>
    <w:rsid w:val="0030050D"/>
    <w:rsid w:val="0030124F"/>
    <w:rsid w:val="003036D1"/>
    <w:rsid w:val="00307F8D"/>
    <w:rsid w:val="0031230E"/>
    <w:rsid w:val="00325AD0"/>
    <w:rsid w:val="003401A0"/>
    <w:rsid w:val="003467FD"/>
    <w:rsid w:val="00346C7A"/>
    <w:rsid w:val="00360FAE"/>
    <w:rsid w:val="00366573"/>
    <w:rsid w:val="00371AB6"/>
    <w:rsid w:val="00377E74"/>
    <w:rsid w:val="00381147"/>
    <w:rsid w:val="003851AD"/>
    <w:rsid w:val="00387209"/>
    <w:rsid w:val="00390FA9"/>
    <w:rsid w:val="00395C11"/>
    <w:rsid w:val="003979B5"/>
    <w:rsid w:val="003A0E90"/>
    <w:rsid w:val="003B3BD0"/>
    <w:rsid w:val="003C05DF"/>
    <w:rsid w:val="003D2721"/>
    <w:rsid w:val="003D6243"/>
    <w:rsid w:val="003F0832"/>
    <w:rsid w:val="003F70F3"/>
    <w:rsid w:val="00402185"/>
    <w:rsid w:val="004064A2"/>
    <w:rsid w:val="00406C41"/>
    <w:rsid w:val="004073CB"/>
    <w:rsid w:val="00420D88"/>
    <w:rsid w:val="00422DDF"/>
    <w:rsid w:val="00425A3C"/>
    <w:rsid w:val="00426891"/>
    <w:rsid w:val="00430CFA"/>
    <w:rsid w:val="00431C27"/>
    <w:rsid w:val="004339BE"/>
    <w:rsid w:val="00434E67"/>
    <w:rsid w:val="004476AB"/>
    <w:rsid w:val="0045251D"/>
    <w:rsid w:val="00452EC5"/>
    <w:rsid w:val="004531AD"/>
    <w:rsid w:val="004602A4"/>
    <w:rsid w:val="00462B91"/>
    <w:rsid w:val="00463DB2"/>
    <w:rsid w:val="00464150"/>
    <w:rsid w:val="00472CD2"/>
    <w:rsid w:val="004730DD"/>
    <w:rsid w:val="00473CE5"/>
    <w:rsid w:val="00480198"/>
    <w:rsid w:val="00480A8F"/>
    <w:rsid w:val="0048211A"/>
    <w:rsid w:val="00483DB5"/>
    <w:rsid w:val="0048423D"/>
    <w:rsid w:val="004939AC"/>
    <w:rsid w:val="004944C0"/>
    <w:rsid w:val="00495059"/>
    <w:rsid w:val="00497EF2"/>
    <w:rsid w:val="004A0E28"/>
    <w:rsid w:val="004A0E8C"/>
    <w:rsid w:val="004A330E"/>
    <w:rsid w:val="004A625F"/>
    <w:rsid w:val="004B166C"/>
    <w:rsid w:val="004B17BA"/>
    <w:rsid w:val="004B483B"/>
    <w:rsid w:val="004B6724"/>
    <w:rsid w:val="004C039D"/>
    <w:rsid w:val="004C2EA5"/>
    <w:rsid w:val="004C433B"/>
    <w:rsid w:val="004C648F"/>
    <w:rsid w:val="004D029B"/>
    <w:rsid w:val="004F0177"/>
    <w:rsid w:val="004F1033"/>
    <w:rsid w:val="004F11E1"/>
    <w:rsid w:val="004F15A2"/>
    <w:rsid w:val="004F16E4"/>
    <w:rsid w:val="004F20EB"/>
    <w:rsid w:val="004F218E"/>
    <w:rsid w:val="004F5FDD"/>
    <w:rsid w:val="004F670A"/>
    <w:rsid w:val="004F6F85"/>
    <w:rsid w:val="004F7229"/>
    <w:rsid w:val="0050252D"/>
    <w:rsid w:val="00506AD7"/>
    <w:rsid w:val="005115C9"/>
    <w:rsid w:val="005130E3"/>
    <w:rsid w:val="00514640"/>
    <w:rsid w:val="00516728"/>
    <w:rsid w:val="00517E07"/>
    <w:rsid w:val="00520B93"/>
    <w:rsid w:val="0052170C"/>
    <w:rsid w:val="00523CE2"/>
    <w:rsid w:val="0052711B"/>
    <w:rsid w:val="0053192C"/>
    <w:rsid w:val="00544DF3"/>
    <w:rsid w:val="0054515A"/>
    <w:rsid w:val="00550F62"/>
    <w:rsid w:val="0055164B"/>
    <w:rsid w:val="00552C95"/>
    <w:rsid w:val="00552F35"/>
    <w:rsid w:val="00562240"/>
    <w:rsid w:val="0056279D"/>
    <w:rsid w:val="00570F2F"/>
    <w:rsid w:val="00572FF9"/>
    <w:rsid w:val="00574267"/>
    <w:rsid w:val="00574EA1"/>
    <w:rsid w:val="00576B9E"/>
    <w:rsid w:val="00585358"/>
    <w:rsid w:val="0059285C"/>
    <w:rsid w:val="005A3265"/>
    <w:rsid w:val="005B0B10"/>
    <w:rsid w:val="005B2F76"/>
    <w:rsid w:val="005B4C7D"/>
    <w:rsid w:val="005B6246"/>
    <w:rsid w:val="005C3628"/>
    <w:rsid w:val="005D127F"/>
    <w:rsid w:val="005D1B23"/>
    <w:rsid w:val="005D2576"/>
    <w:rsid w:val="005D291E"/>
    <w:rsid w:val="005E03D1"/>
    <w:rsid w:val="005E0AD7"/>
    <w:rsid w:val="005E2F14"/>
    <w:rsid w:val="005E70F5"/>
    <w:rsid w:val="005F0BEF"/>
    <w:rsid w:val="005F3FEC"/>
    <w:rsid w:val="00602E1A"/>
    <w:rsid w:val="00604E1B"/>
    <w:rsid w:val="0060688A"/>
    <w:rsid w:val="006068A3"/>
    <w:rsid w:val="00607FB7"/>
    <w:rsid w:val="00613144"/>
    <w:rsid w:val="00622640"/>
    <w:rsid w:val="00622F05"/>
    <w:rsid w:val="00624354"/>
    <w:rsid w:val="00624C95"/>
    <w:rsid w:val="00626C7D"/>
    <w:rsid w:val="0062774F"/>
    <w:rsid w:val="00630414"/>
    <w:rsid w:val="0063158B"/>
    <w:rsid w:val="00634CD6"/>
    <w:rsid w:val="00653B75"/>
    <w:rsid w:val="00657992"/>
    <w:rsid w:val="006641A4"/>
    <w:rsid w:val="006645FB"/>
    <w:rsid w:val="00665577"/>
    <w:rsid w:val="006677CD"/>
    <w:rsid w:val="00681A2E"/>
    <w:rsid w:val="00681B44"/>
    <w:rsid w:val="0068310E"/>
    <w:rsid w:val="00685AB1"/>
    <w:rsid w:val="006862E1"/>
    <w:rsid w:val="0069327A"/>
    <w:rsid w:val="006936AB"/>
    <w:rsid w:val="0069678D"/>
    <w:rsid w:val="006A05E2"/>
    <w:rsid w:val="006A2C94"/>
    <w:rsid w:val="006A4AE2"/>
    <w:rsid w:val="006A506A"/>
    <w:rsid w:val="006A51C1"/>
    <w:rsid w:val="006A5C15"/>
    <w:rsid w:val="006A6E6F"/>
    <w:rsid w:val="006B2332"/>
    <w:rsid w:val="006B5D87"/>
    <w:rsid w:val="006B74F7"/>
    <w:rsid w:val="006D02BC"/>
    <w:rsid w:val="006D0CB7"/>
    <w:rsid w:val="006D6FD8"/>
    <w:rsid w:val="006E3A86"/>
    <w:rsid w:val="006E5929"/>
    <w:rsid w:val="006E5B31"/>
    <w:rsid w:val="006F26CD"/>
    <w:rsid w:val="006F5301"/>
    <w:rsid w:val="006F7403"/>
    <w:rsid w:val="00703280"/>
    <w:rsid w:val="007038AC"/>
    <w:rsid w:val="00714F3A"/>
    <w:rsid w:val="00715ACB"/>
    <w:rsid w:val="00720C8E"/>
    <w:rsid w:val="007222DF"/>
    <w:rsid w:val="007259D2"/>
    <w:rsid w:val="00727A78"/>
    <w:rsid w:val="00734B6C"/>
    <w:rsid w:val="0073730C"/>
    <w:rsid w:val="00737FCA"/>
    <w:rsid w:val="0074127C"/>
    <w:rsid w:val="00742EEE"/>
    <w:rsid w:val="00752D2A"/>
    <w:rsid w:val="00761FFA"/>
    <w:rsid w:val="00770CFF"/>
    <w:rsid w:val="00775FDA"/>
    <w:rsid w:val="00780836"/>
    <w:rsid w:val="007843A7"/>
    <w:rsid w:val="007868D2"/>
    <w:rsid w:val="00791D1A"/>
    <w:rsid w:val="007A7662"/>
    <w:rsid w:val="007B5AB8"/>
    <w:rsid w:val="007C0005"/>
    <w:rsid w:val="007C0BC7"/>
    <w:rsid w:val="007C1E6A"/>
    <w:rsid w:val="007C5946"/>
    <w:rsid w:val="007C6423"/>
    <w:rsid w:val="007D357B"/>
    <w:rsid w:val="007D4C13"/>
    <w:rsid w:val="007D6C7B"/>
    <w:rsid w:val="007E0F4C"/>
    <w:rsid w:val="007E6186"/>
    <w:rsid w:val="007F6C0C"/>
    <w:rsid w:val="00800E3C"/>
    <w:rsid w:val="0080231A"/>
    <w:rsid w:val="00806796"/>
    <w:rsid w:val="00814A3D"/>
    <w:rsid w:val="00820DA6"/>
    <w:rsid w:val="00820FB7"/>
    <w:rsid w:val="008258D2"/>
    <w:rsid w:val="008259AA"/>
    <w:rsid w:val="0084603F"/>
    <w:rsid w:val="008462E0"/>
    <w:rsid w:val="008463EB"/>
    <w:rsid w:val="008546C9"/>
    <w:rsid w:val="00855A9C"/>
    <w:rsid w:val="00857B4D"/>
    <w:rsid w:val="00860F0D"/>
    <w:rsid w:val="008674CC"/>
    <w:rsid w:val="00882B8B"/>
    <w:rsid w:val="00885FB6"/>
    <w:rsid w:val="008908A5"/>
    <w:rsid w:val="00895C17"/>
    <w:rsid w:val="00896E02"/>
    <w:rsid w:val="008A0A64"/>
    <w:rsid w:val="008A2222"/>
    <w:rsid w:val="008A7634"/>
    <w:rsid w:val="008B1671"/>
    <w:rsid w:val="008B352D"/>
    <w:rsid w:val="008C0E5B"/>
    <w:rsid w:val="008C3878"/>
    <w:rsid w:val="008C5244"/>
    <w:rsid w:val="008C6C8B"/>
    <w:rsid w:val="008C7DE2"/>
    <w:rsid w:val="008E3008"/>
    <w:rsid w:val="008E4342"/>
    <w:rsid w:val="008F0C22"/>
    <w:rsid w:val="008F2D85"/>
    <w:rsid w:val="008F797B"/>
    <w:rsid w:val="00900150"/>
    <w:rsid w:val="0090082D"/>
    <w:rsid w:val="00901AE3"/>
    <w:rsid w:val="00901B92"/>
    <w:rsid w:val="0090766A"/>
    <w:rsid w:val="0091075A"/>
    <w:rsid w:val="0091282C"/>
    <w:rsid w:val="00912C56"/>
    <w:rsid w:val="00924ABE"/>
    <w:rsid w:val="00927044"/>
    <w:rsid w:val="009307A9"/>
    <w:rsid w:val="00941598"/>
    <w:rsid w:val="0095115C"/>
    <w:rsid w:val="009554C6"/>
    <w:rsid w:val="00956089"/>
    <w:rsid w:val="00956F0D"/>
    <w:rsid w:val="0095776A"/>
    <w:rsid w:val="00960146"/>
    <w:rsid w:val="009655A4"/>
    <w:rsid w:val="0097168A"/>
    <w:rsid w:val="00972C33"/>
    <w:rsid w:val="009735BD"/>
    <w:rsid w:val="00974285"/>
    <w:rsid w:val="00981B4A"/>
    <w:rsid w:val="009821D3"/>
    <w:rsid w:val="00982E6E"/>
    <w:rsid w:val="009854B2"/>
    <w:rsid w:val="00986574"/>
    <w:rsid w:val="00987220"/>
    <w:rsid w:val="00991386"/>
    <w:rsid w:val="0099152A"/>
    <w:rsid w:val="009965B8"/>
    <w:rsid w:val="00996973"/>
    <w:rsid w:val="00996A98"/>
    <w:rsid w:val="00996DB5"/>
    <w:rsid w:val="009A584C"/>
    <w:rsid w:val="009A6576"/>
    <w:rsid w:val="009A6DD0"/>
    <w:rsid w:val="009B48C4"/>
    <w:rsid w:val="009B608F"/>
    <w:rsid w:val="009C2257"/>
    <w:rsid w:val="009C3F7F"/>
    <w:rsid w:val="009D31DA"/>
    <w:rsid w:val="009D49A2"/>
    <w:rsid w:val="009E3DA7"/>
    <w:rsid w:val="009E45D9"/>
    <w:rsid w:val="009F1216"/>
    <w:rsid w:val="009F2987"/>
    <w:rsid w:val="009F68E3"/>
    <w:rsid w:val="00A04A61"/>
    <w:rsid w:val="00A07E29"/>
    <w:rsid w:val="00A20418"/>
    <w:rsid w:val="00A20FF6"/>
    <w:rsid w:val="00A21946"/>
    <w:rsid w:val="00A219F8"/>
    <w:rsid w:val="00A22452"/>
    <w:rsid w:val="00A22AF0"/>
    <w:rsid w:val="00A24901"/>
    <w:rsid w:val="00A25092"/>
    <w:rsid w:val="00A25FF4"/>
    <w:rsid w:val="00A3399C"/>
    <w:rsid w:val="00A35B08"/>
    <w:rsid w:val="00A4483B"/>
    <w:rsid w:val="00A463EB"/>
    <w:rsid w:val="00A506CD"/>
    <w:rsid w:val="00A50844"/>
    <w:rsid w:val="00A512E2"/>
    <w:rsid w:val="00A63F1D"/>
    <w:rsid w:val="00A71155"/>
    <w:rsid w:val="00A723B6"/>
    <w:rsid w:val="00A764A4"/>
    <w:rsid w:val="00A76F83"/>
    <w:rsid w:val="00A8298F"/>
    <w:rsid w:val="00A84728"/>
    <w:rsid w:val="00A863CB"/>
    <w:rsid w:val="00A87C3D"/>
    <w:rsid w:val="00A964B2"/>
    <w:rsid w:val="00A976A3"/>
    <w:rsid w:val="00AA0FD9"/>
    <w:rsid w:val="00AA1576"/>
    <w:rsid w:val="00AA5E46"/>
    <w:rsid w:val="00AB5722"/>
    <w:rsid w:val="00AC127B"/>
    <w:rsid w:val="00AC3893"/>
    <w:rsid w:val="00AD5D8D"/>
    <w:rsid w:val="00AD6F9C"/>
    <w:rsid w:val="00AE496D"/>
    <w:rsid w:val="00AE4EF0"/>
    <w:rsid w:val="00AE706E"/>
    <w:rsid w:val="00AF39C5"/>
    <w:rsid w:val="00AF3BAB"/>
    <w:rsid w:val="00AF6D04"/>
    <w:rsid w:val="00B000DB"/>
    <w:rsid w:val="00B03EF0"/>
    <w:rsid w:val="00B03F51"/>
    <w:rsid w:val="00B0702C"/>
    <w:rsid w:val="00B148CB"/>
    <w:rsid w:val="00B24529"/>
    <w:rsid w:val="00B26B2D"/>
    <w:rsid w:val="00B27384"/>
    <w:rsid w:val="00B33FDF"/>
    <w:rsid w:val="00B35020"/>
    <w:rsid w:val="00B433D0"/>
    <w:rsid w:val="00B4345F"/>
    <w:rsid w:val="00B50015"/>
    <w:rsid w:val="00B527F0"/>
    <w:rsid w:val="00B52B21"/>
    <w:rsid w:val="00B54BBD"/>
    <w:rsid w:val="00B57793"/>
    <w:rsid w:val="00B651FC"/>
    <w:rsid w:val="00B73398"/>
    <w:rsid w:val="00B868F1"/>
    <w:rsid w:val="00B93881"/>
    <w:rsid w:val="00B95812"/>
    <w:rsid w:val="00BA3437"/>
    <w:rsid w:val="00BA544B"/>
    <w:rsid w:val="00BA561F"/>
    <w:rsid w:val="00BA6928"/>
    <w:rsid w:val="00BB0B4B"/>
    <w:rsid w:val="00BB3E06"/>
    <w:rsid w:val="00BC1C66"/>
    <w:rsid w:val="00BC2B89"/>
    <w:rsid w:val="00BC645F"/>
    <w:rsid w:val="00BD49DA"/>
    <w:rsid w:val="00BE0898"/>
    <w:rsid w:val="00BE1DCD"/>
    <w:rsid w:val="00BE61FD"/>
    <w:rsid w:val="00BF4090"/>
    <w:rsid w:val="00BF5DFF"/>
    <w:rsid w:val="00C077BF"/>
    <w:rsid w:val="00C10463"/>
    <w:rsid w:val="00C1271B"/>
    <w:rsid w:val="00C14D48"/>
    <w:rsid w:val="00C17AE0"/>
    <w:rsid w:val="00C22924"/>
    <w:rsid w:val="00C24023"/>
    <w:rsid w:val="00C24601"/>
    <w:rsid w:val="00C27247"/>
    <w:rsid w:val="00C30104"/>
    <w:rsid w:val="00C31FE7"/>
    <w:rsid w:val="00C41BD2"/>
    <w:rsid w:val="00C462B8"/>
    <w:rsid w:val="00C47A51"/>
    <w:rsid w:val="00C520A8"/>
    <w:rsid w:val="00C5668E"/>
    <w:rsid w:val="00C6328F"/>
    <w:rsid w:val="00C7068C"/>
    <w:rsid w:val="00C719CE"/>
    <w:rsid w:val="00C81C9D"/>
    <w:rsid w:val="00C86DB0"/>
    <w:rsid w:val="00C87340"/>
    <w:rsid w:val="00C93706"/>
    <w:rsid w:val="00C9658A"/>
    <w:rsid w:val="00CA26F1"/>
    <w:rsid w:val="00CA43BA"/>
    <w:rsid w:val="00CB1052"/>
    <w:rsid w:val="00CB12C8"/>
    <w:rsid w:val="00CB1E1E"/>
    <w:rsid w:val="00CB5581"/>
    <w:rsid w:val="00CB6DFF"/>
    <w:rsid w:val="00CB6F1A"/>
    <w:rsid w:val="00CC1818"/>
    <w:rsid w:val="00CE1CD6"/>
    <w:rsid w:val="00CE6B43"/>
    <w:rsid w:val="00CF2839"/>
    <w:rsid w:val="00CF42CC"/>
    <w:rsid w:val="00CF4558"/>
    <w:rsid w:val="00CF4C5A"/>
    <w:rsid w:val="00CF5ACC"/>
    <w:rsid w:val="00D03B2D"/>
    <w:rsid w:val="00D04BC8"/>
    <w:rsid w:val="00D054DB"/>
    <w:rsid w:val="00D068D2"/>
    <w:rsid w:val="00D15E12"/>
    <w:rsid w:val="00D17790"/>
    <w:rsid w:val="00D20ADF"/>
    <w:rsid w:val="00D220D3"/>
    <w:rsid w:val="00D2291F"/>
    <w:rsid w:val="00D2294F"/>
    <w:rsid w:val="00D234D1"/>
    <w:rsid w:val="00D254F0"/>
    <w:rsid w:val="00D2688B"/>
    <w:rsid w:val="00D26948"/>
    <w:rsid w:val="00D33265"/>
    <w:rsid w:val="00D366EC"/>
    <w:rsid w:val="00D426FC"/>
    <w:rsid w:val="00D47546"/>
    <w:rsid w:val="00D4766E"/>
    <w:rsid w:val="00D523F9"/>
    <w:rsid w:val="00D5756B"/>
    <w:rsid w:val="00D70811"/>
    <w:rsid w:val="00D728D7"/>
    <w:rsid w:val="00D82A0F"/>
    <w:rsid w:val="00D841F7"/>
    <w:rsid w:val="00D92D94"/>
    <w:rsid w:val="00D92EAF"/>
    <w:rsid w:val="00DA5691"/>
    <w:rsid w:val="00DA6C31"/>
    <w:rsid w:val="00DA7D4C"/>
    <w:rsid w:val="00DB6589"/>
    <w:rsid w:val="00DB6AF8"/>
    <w:rsid w:val="00DB6DFE"/>
    <w:rsid w:val="00DC323E"/>
    <w:rsid w:val="00DC5EDF"/>
    <w:rsid w:val="00DC6C54"/>
    <w:rsid w:val="00DC7E23"/>
    <w:rsid w:val="00DD1AC0"/>
    <w:rsid w:val="00DD4F42"/>
    <w:rsid w:val="00DD645C"/>
    <w:rsid w:val="00DD689E"/>
    <w:rsid w:val="00DE7C0E"/>
    <w:rsid w:val="00DF04C4"/>
    <w:rsid w:val="00DF14C1"/>
    <w:rsid w:val="00DF260D"/>
    <w:rsid w:val="00DF3F38"/>
    <w:rsid w:val="00DF5AAB"/>
    <w:rsid w:val="00E014E3"/>
    <w:rsid w:val="00E05366"/>
    <w:rsid w:val="00E05CF1"/>
    <w:rsid w:val="00E0623E"/>
    <w:rsid w:val="00E16342"/>
    <w:rsid w:val="00E16ECC"/>
    <w:rsid w:val="00E20A09"/>
    <w:rsid w:val="00E26F0A"/>
    <w:rsid w:val="00E321EE"/>
    <w:rsid w:val="00E331DC"/>
    <w:rsid w:val="00E37322"/>
    <w:rsid w:val="00E41131"/>
    <w:rsid w:val="00E43E56"/>
    <w:rsid w:val="00E445FA"/>
    <w:rsid w:val="00E4558B"/>
    <w:rsid w:val="00E54E8C"/>
    <w:rsid w:val="00E56D67"/>
    <w:rsid w:val="00E64487"/>
    <w:rsid w:val="00E672FA"/>
    <w:rsid w:val="00E727E5"/>
    <w:rsid w:val="00E74984"/>
    <w:rsid w:val="00E86D27"/>
    <w:rsid w:val="00E9015A"/>
    <w:rsid w:val="00E910D0"/>
    <w:rsid w:val="00E930EC"/>
    <w:rsid w:val="00E968A4"/>
    <w:rsid w:val="00E97471"/>
    <w:rsid w:val="00EA1C8B"/>
    <w:rsid w:val="00EA1FF9"/>
    <w:rsid w:val="00EA7F86"/>
    <w:rsid w:val="00EB363B"/>
    <w:rsid w:val="00EB41D7"/>
    <w:rsid w:val="00EC7C7F"/>
    <w:rsid w:val="00ED1399"/>
    <w:rsid w:val="00ED2627"/>
    <w:rsid w:val="00ED755D"/>
    <w:rsid w:val="00EE22C3"/>
    <w:rsid w:val="00EE514C"/>
    <w:rsid w:val="00EE5D5A"/>
    <w:rsid w:val="00EF01CC"/>
    <w:rsid w:val="00EF17E6"/>
    <w:rsid w:val="00F119C9"/>
    <w:rsid w:val="00F12F56"/>
    <w:rsid w:val="00F142DF"/>
    <w:rsid w:val="00F164B4"/>
    <w:rsid w:val="00F24A94"/>
    <w:rsid w:val="00F25373"/>
    <w:rsid w:val="00F275EE"/>
    <w:rsid w:val="00F32E1A"/>
    <w:rsid w:val="00F42D47"/>
    <w:rsid w:val="00F46AE5"/>
    <w:rsid w:val="00F61798"/>
    <w:rsid w:val="00F61F68"/>
    <w:rsid w:val="00F63F92"/>
    <w:rsid w:val="00F70CAB"/>
    <w:rsid w:val="00F71478"/>
    <w:rsid w:val="00F71A17"/>
    <w:rsid w:val="00F746DC"/>
    <w:rsid w:val="00F921A7"/>
    <w:rsid w:val="00F92AF6"/>
    <w:rsid w:val="00F9401D"/>
    <w:rsid w:val="00F95FBC"/>
    <w:rsid w:val="00F96266"/>
    <w:rsid w:val="00FA0989"/>
    <w:rsid w:val="00FA0D09"/>
    <w:rsid w:val="00FA5CA1"/>
    <w:rsid w:val="00FB0C22"/>
    <w:rsid w:val="00FB4EDF"/>
    <w:rsid w:val="00FC523E"/>
    <w:rsid w:val="00FC55D6"/>
    <w:rsid w:val="00FC7299"/>
    <w:rsid w:val="00FD19DD"/>
    <w:rsid w:val="00FE0C13"/>
    <w:rsid w:val="00FE3488"/>
    <w:rsid w:val="00FE4CCD"/>
    <w:rsid w:val="00FE5877"/>
    <w:rsid w:val="00FF2A91"/>
    <w:rsid w:val="00FF3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8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8D2"/>
    <w:rPr>
      <w:rFonts w:ascii="Tahoma" w:hAnsi="Tahoma" w:cs="Tahoma"/>
      <w:sz w:val="16"/>
      <w:szCs w:val="16"/>
    </w:rPr>
  </w:style>
  <w:style w:type="paragraph" w:styleId="ListParagraph">
    <w:name w:val="List Paragraph"/>
    <w:basedOn w:val="Normal"/>
    <w:uiPriority w:val="34"/>
    <w:qFormat/>
    <w:rsid w:val="004C648F"/>
    <w:pPr>
      <w:ind w:left="720"/>
      <w:contextualSpacing/>
    </w:pPr>
  </w:style>
  <w:style w:type="character" w:styleId="CommentReference">
    <w:name w:val="annotation reference"/>
    <w:basedOn w:val="DefaultParagraphFont"/>
    <w:uiPriority w:val="99"/>
    <w:semiHidden/>
    <w:unhideWhenUsed/>
    <w:rsid w:val="00622F05"/>
    <w:rPr>
      <w:sz w:val="16"/>
      <w:szCs w:val="16"/>
    </w:rPr>
  </w:style>
  <w:style w:type="paragraph" w:styleId="CommentText">
    <w:name w:val="annotation text"/>
    <w:basedOn w:val="Normal"/>
    <w:link w:val="CommentTextChar"/>
    <w:uiPriority w:val="99"/>
    <w:semiHidden/>
    <w:unhideWhenUsed/>
    <w:rsid w:val="00622F05"/>
    <w:pPr>
      <w:spacing w:line="240" w:lineRule="auto"/>
    </w:pPr>
    <w:rPr>
      <w:sz w:val="20"/>
      <w:szCs w:val="20"/>
    </w:rPr>
  </w:style>
  <w:style w:type="character" w:customStyle="1" w:styleId="CommentTextChar">
    <w:name w:val="Comment Text Char"/>
    <w:basedOn w:val="DefaultParagraphFont"/>
    <w:link w:val="CommentText"/>
    <w:uiPriority w:val="99"/>
    <w:semiHidden/>
    <w:rsid w:val="00622F05"/>
    <w:rPr>
      <w:sz w:val="20"/>
      <w:szCs w:val="20"/>
    </w:rPr>
  </w:style>
  <w:style w:type="paragraph" w:styleId="CommentSubject">
    <w:name w:val="annotation subject"/>
    <w:basedOn w:val="CommentText"/>
    <w:next w:val="CommentText"/>
    <w:link w:val="CommentSubjectChar"/>
    <w:uiPriority w:val="99"/>
    <w:semiHidden/>
    <w:unhideWhenUsed/>
    <w:rsid w:val="00622F05"/>
    <w:rPr>
      <w:b/>
      <w:bCs/>
    </w:rPr>
  </w:style>
  <w:style w:type="character" w:customStyle="1" w:styleId="CommentSubjectChar">
    <w:name w:val="Comment Subject Char"/>
    <w:basedOn w:val="CommentTextChar"/>
    <w:link w:val="CommentSubject"/>
    <w:uiPriority w:val="99"/>
    <w:semiHidden/>
    <w:rsid w:val="00622F05"/>
    <w:rPr>
      <w:b/>
      <w:bCs/>
      <w:sz w:val="20"/>
      <w:szCs w:val="20"/>
    </w:rPr>
  </w:style>
  <w:style w:type="character" w:styleId="Emphasis">
    <w:name w:val="Emphasis"/>
    <w:basedOn w:val="DefaultParagraphFont"/>
    <w:uiPriority w:val="20"/>
    <w:qFormat/>
    <w:rsid w:val="008A7634"/>
    <w:rPr>
      <w:b/>
      <w:bCs/>
      <w:i w:val="0"/>
      <w:iCs w:val="0"/>
    </w:rPr>
  </w:style>
  <w:style w:type="character" w:customStyle="1" w:styleId="st1">
    <w:name w:val="st1"/>
    <w:basedOn w:val="DefaultParagraphFont"/>
    <w:rsid w:val="008A7634"/>
  </w:style>
  <w:style w:type="paragraph" w:styleId="Revision">
    <w:name w:val="Revision"/>
    <w:hidden/>
    <w:uiPriority w:val="99"/>
    <w:semiHidden/>
    <w:rsid w:val="000623F4"/>
    <w:pPr>
      <w:spacing w:after="0" w:line="240" w:lineRule="auto"/>
    </w:pPr>
  </w:style>
  <w:style w:type="paragraph" w:styleId="Header">
    <w:name w:val="header"/>
    <w:basedOn w:val="Normal"/>
    <w:link w:val="HeaderChar"/>
    <w:uiPriority w:val="99"/>
    <w:unhideWhenUsed/>
    <w:rsid w:val="00820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DA6"/>
  </w:style>
  <w:style w:type="paragraph" w:styleId="Footer">
    <w:name w:val="footer"/>
    <w:basedOn w:val="Normal"/>
    <w:link w:val="FooterChar"/>
    <w:uiPriority w:val="99"/>
    <w:unhideWhenUsed/>
    <w:rsid w:val="00820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D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8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8D2"/>
    <w:rPr>
      <w:rFonts w:ascii="Tahoma" w:hAnsi="Tahoma" w:cs="Tahoma"/>
      <w:sz w:val="16"/>
      <w:szCs w:val="16"/>
    </w:rPr>
  </w:style>
  <w:style w:type="paragraph" w:styleId="ListParagraph">
    <w:name w:val="List Paragraph"/>
    <w:basedOn w:val="Normal"/>
    <w:uiPriority w:val="34"/>
    <w:qFormat/>
    <w:rsid w:val="004C648F"/>
    <w:pPr>
      <w:ind w:left="720"/>
      <w:contextualSpacing/>
    </w:pPr>
  </w:style>
  <w:style w:type="character" w:styleId="CommentReference">
    <w:name w:val="annotation reference"/>
    <w:basedOn w:val="DefaultParagraphFont"/>
    <w:uiPriority w:val="99"/>
    <w:semiHidden/>
    <w:unhideWhenUsed/>
    <w:rsid w:val="00622F05"/>
    <w:rPr>
      <w:sz w:val="16"/>
      <w:szCs w:val="16"/>
    </w:rPr>
  </w:style>
  <w:style w:type="paragraph" w:styleId="CommentText">
    <w:name w:val="annotation text"/>
    <w:basedOn w:val="Normal"/>
    <w:link w:val="CommentTextChar"/>
    <w:uiPriority w:val="99"/>
    <w:semiHidden/>
    <w:unhideWhenUsed/>
    <w:rsid w:val="00622F05"/>
    <w:pPr>
      <w:spacing w:line="240" w:lineRule="auto"/>
    </w:pPr>
    <w:rPr>
      <w:sz w:val="20"/>
      <w:szCs w:val="20"/>
    </w:rPr>
  </w:style>
  <w:style w:type="character" w:customStyle="1" w:styleId="CommentTextChar">
    <w:name w:val="Comment Text Char"/>
    <w:basedOn w:val="DefaultParagraphFont"/>
    <w:link w:val="CommentText"/>
    <w:uiPriority w:val="99"/>
    <w:semiHidden/>
    <w:rsid w:val="00622F05"/>
    <w:rPr>
      <w:sz w:val="20"/>
      <w:szCs w:val="20"/>
    </w:rPr>
  </w:style>
  <w:style w:type="paragraph" w:styleId="CommentSubject">
    <w:name w:val="annotation subject"/>
    <w:basedOn w:val="CommentText"/>
    <w:next w:val="CommentText"/>
    <w:link w:val="CommentSubjectChar"/>
    <w:uiPriority w:val="99"/>
    <w:semiHidden/>
    <w:unhideWhenUsed/>
    <w:rsid w:val="00622F05"/>
    <w:rPr>
      <w:b/>
      <w:bCs/>
    </w:rPr>
  </w:style>
  <w:style w:type="character" w:customStyle="1" w:styleId="CommentSubjectChar">
    <w:name w:val="Comment Subject Char"/>
    <w:basedOn w:val="CommentTextChar"/>
    <w:link w:val="CommentSubject"/>
    <w:uiPriority w:val="99"/>
    <w:semiHidden/>
    <w:rsid w:val="00622F05"/>
    <w:rPr>
      <w:b/>
      <w:bCs/>
      <w:sz w:val="20"/>
      <w:szCs w:val="20"/>
    </w:rPr>
  </w:style>
  <w:style w:type="character" w:styleId="Emphasis">
    <w:name w:val="Emphasis"/>
    <w:basedOn w:val="DefaultParagraphFont"/>
    <w:uiPriority w:val="20"/>
    <w:qFormat/>
    <w:rsid w:val="008A7634"/>
    <w:rPr>
      <w:b/>
      <w:bCs/>
      <w:i w:val="0"/>
      <w:iCs w:val="0"/>
    </w:rPr>
  </w:style>
  <w:style w:type="character" w:customStyle="1" w:styleId="st1">
    <w:name w:val="st1"/>
    <w:basedOn w:val="DefaultParagraphFont"/>
    <w:rsid w:val="008A7634"/>
  </w:style>
  <w:style w:type="paragraph" w:styleId="Revision">
    <w:name w:val="Revision"/>
    <w:hidden/>
    <w:uiPriority w:val="99"/>
    <w:semiHidden/>
    <w:rsid w:val="000623F4"/>
    <w:pPr>
      <w:spacing w:after="0" w:line="240" w:lineRule="auto"/>
    </w:pPr>
  </w:style>
  <w:style w:type="paragraph" w:styleId="Header">
    <w:name w:val="header"/>
    <w:basedOn w:val="Normal"/>
    <w:link w:val="HeaderChar"/>
    <w:uiPriority w:val="99"/>
    <w:unhideWhenUsed/>
    <w:rsid w:val="00820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DA6"/>
  </w:style>
  <w:style w:type="paragraph" w:styleId="Footer">
    <w:name w:val="footer"/>
    <w:basedOn w:val="Normal"/>
    <w:link w:val="FooterChar"/>
    <w:uiPriority w:val="99"/>
    <w:unhideWhenUsed/>
    <w:rsid w:val="00820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5938">
      <w:bodyDiv w:val="1"/>
      <w:marLeft w:val="0"/>
      <w:marRight w:val="0"/>
      <w:marTop w:val="0"/>
      <w:marBottom w:val="0"/>
      <w:divBdr>
        <w:top w:val="none" w:sz="0" w:space="0" w:color="auto"/>
        <w:left w:val="none" w:sz="0" w:space="0" w:color="auto"/>
        <w:bottom w:val="none" w:sz="0" w:space="0" w:color="auto"/>
        <w:right w:val="none" w:sz="0" w:space="0" w:color="auto"/>
      </w:divBdr>
    </w:div>
    <w:div w:id="1124695868">
      <w:bodyDiv w:val="1"/>
      <w:marLeft w:val="0"/>
      <w:marRight w:val="0"/>
      <w:marTop w:val="0"/>
      <w:marBottom w:val="0"/>
      <w:divBdr>
        <w:top w:val="none" w:sz="0" w:space="0" w:color="auto"/>
        <w:left w:val="none" w:sz="0" w:space="0" w:color="auto"/>
        <w:bottom w:val="none" w:sz="0" w:space="0" w:color="auto"/>
        <w:right w:val="none" w:sz="0" w:space="0" w:color="auto"/>
      </w:divBdr>
    </w:div>
    <w:div w:id="125396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3210a.osf.global\kreti$\reports\List%20of%20grants%20for%20domestic%20violence%20portfolio%20review.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3210a.osf.global\kreti$\reports\List%20of%20grants%20for%20domestic%20violence%20portfolio%20revie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a:t>Country Focus</a:t>
            </a:r>
            <a:br>
              <a:rPr lang="en-US" sz="1300"/>
            </a:br>
            <a:r>
              <a:rPr lang="en-US" sz="1300"/>
              <a:t>23</a:t>
            </a:r>
            <a:r>
              <a:rPr lang="en-US" sz="1300" baseline="0"/>
              <a:t> grants</a:t>
            </a:r>
            <a:endParaRPr lang="en-US" sz="1300"/>
          </a:p>
        </c:rich>
      </c:tx>
      <c:layout>
        <c:manualLayout>
          <c:xMode val="edge"/>
          <c:yMode val="edge"/>
          <c:x val="0.41562475440151136"/>
          <c:y val="2.4110910186859555E-2"/>
        </c:manualLayout>
      </c:layout>
      <c:overlay val="0"/>
    </c:title>
    <c:autoTitleDeleted val="0"/>
    <c:view3D>
      <c:rotX val="15"/>
      <c:rotY val="20"/>
      <c:rAngAx val="1"/>
    </c:view3D>
    <c:floor>
      <c:thickness val="0"/>
    </c:floor>
    <c:sideWall>
      <c:thickness val="0"/>
      <c:spPr>
        <a:gradFill flip="none" rotWithShape="1">
          <a:gsLst>
            <a:gs pos="0">
              <a:schemeClr val="accent1">
                <a:tint val="66000"/>
                <a:satMod val="160000"/>
              </a:schemeClr>
            </a:gs>
            <a:gs pos="74000">
              <a:schemeClr val="accent1">
                <a:tint val="44500"/>
                <a:satMod val="160000"/>
              </a:schemeClr>
            </a:gs>
            <a:gs pos="100000">
              <a:schemeClr val="accent1">
                <a:tint val="23500"/>
                <a:satMod val="160000"/>
              </a:schemeClr>
            </a:gs>
          </a:gsLst>
          <a:lin ang="2700000" scaled="1"/>
          <a:tileRect/>
        </a:gradFill>
      </c:spPr>
    </c:sideWall>
    <c:backWall>
      <c:thickness val="0"/>
      <c:spPr>
        <a:gradFill flip="none" rotWithShape="1">
          <a:gsLst>
            <a:gs pos="0">
              <a:schemeClr val="accent1">
                <a:tint val="66000"/>
                <a:satMod val="160000"/>
              </a:schemeClr>
            </a:gs>
            <a:gs pos="74000">
              <a:schemeClr val="accent1">
                <a:tint val="44500"/>
                <a:satMod val="160000"/>
              </a:schemeClr>
            </a:gs>
            <a:gs pos="100000">
              <a:schemeClr val="accent1">
                <a:tint val="23500"/>
                <a:satMod val="160000"/>
              </a:schemeClr>
            </a:gs>
          </a:gsLst>
          <a:lin ang="2700000" scaled="1"/>
          <a:tileRect/>
        </a:gradFill>
      </c:spPr>
    </c:backWall>
    <c:plotArea>
      <c:layout>
        <c:manualLayout>
          <c:layoutTarget val="inner"/>
          <c:xMode val="edge"/>
          <c:yMode val="edge"/>
          <c:x val="0.23976089979348192"/>
          <c:y val="0.16951620053616348"/>
          <c:w val="0.7406312377097064"/>
          <c:h val="0.80132542251469185"/>
        </c:manualLayout>
      </c:layout>
      <c:bar3DChart>
        <c:barDir val="bar"/>
        <c:grouping val="clustered"/>
        <c:varyColors val="0"/>
        <c:ser>
          <c:idx val="0"/>
          <c:order val="0"/>
          <c:invertIfNegative val="0"/>
          <c:dLbls>
            <c:dLbl>
              <c:idx val="0"/>
              <c:layout>
                <c:manualLayout>
                  <c:x val="-8.4879151655968488E-2"/>
                  <c:y val="5.0166082233004793E-3"/>
                </c:manualLayout>
              </c:layout>
              <c:showLegendKey val="0"/>
              <c:showVal val="1"/>
              <c:showCatName val="0"/>
              <c:showSerName val="0"/>
              <c:showPercent val="0"/>
              <c:showBubbleSize val="0"/>
              <c:separator>, </c:separator>
            </c:dLbl>
            <c:dLbl>
              <c:idx val="1"/>
              <c:layout>
                <c:manualLayout>
                  <c:x val="-8.4014685080252824E-2"/>
                  <c:y val="9.0820684947893575E-3"/>
                </c:manualLayout>
              </c:layout>
              <c:showLegendKey val="0"/>
              <c:showVal val="1"/>
              <c:showCatName val="0"/>
              <c:showSerName val="0"/>
              <c:showPercent val="0"/>
              <c:showBubbleSize val="0"/>
              <c:separator>, </c:separator>
            </c:dLbl>
            <c:dLbl>
              <c:idx val="2"/>
              <c:layout>
                <c:manualLayout>
                  <c:x val="-5.6540477979356608E-2"/>
                  <c:y val="5.062537100225503E-3"/>
                </c:manualLayout>
              </c:layout>
              <c:showLegendKey val="1"/>
              <c:showVal val="1"/>
              <c:showCatName val="0"/>
              <c:showSerName val="0"/>
              <c:showPercent val="0"/>
              <c:showBubbleSize val="0"/>
              <c:separator>, </c:separator>
            </c:dLbl>
            <c:dLbl>
              <c:idx val="3"/>
              <c:layout>
                <c:manualLayout>
                  <c:x val="-0.10930088284418993"/>
                  <c:y val="4.5829222886067666E-3"/>
                </c:manualLayout>
              </c:layout>
              <c:showLegendKey val="0"/>
              <c:showVal val="1"/>
              <c:showCatName val="0"/>
              <c:showSerName val="0"/>
              <c:showPercent val="0"/>
              <c:showBubbleSize val="0"/>
              <c:separator>, </c:separator>
            </c:dLbl>
            <c:dLbl>
              <c:idx val="4"/>
              <c:layout>
                <c:manualLayout>
                  <c:x val="-0.1085398453360245"/>
                  <c:y val="4.8226286042838329E-3"/>
                </c:manualLayout>
              </c:layout>
              <c:showLegendKey val="0"/>
              <c:showVal val="1"/>
              <c:showCatName val="0"/>
              <c:showSerName val="0"/>
              <c:showPercent val="0"/>
              <c:showBubbleSize val="0"/>
              <c:separator>, </c:separator>
            </c:dLbl>
            <c:dLbl>
              <c:idx val="5"/>
              <c:layout>
                <c:manualLayout>
                  <c:x val="-0.10285177840102327"/>
                  <c:y val="2.4116218808190042E-3"/>
                </c:manualLayout>
              </c:layout>
              <c:showLegendKey val="0"/>
              <c:showVal val="1"/>
              <c:showCatName val="0"/>
              <c:showSerName val="0"/>
              <c:showPercent val="0"/>
              <c:showBubbleSize val="0"/>
              <c:separator>, </c:separator>
            </c:dLbl>
            <c:dLbl>
              <c:idx val="6"/>
              <c:layout>
                <c:manualLayout>
                  <c:x val="-0.10510062546205569"/>
                  <c:y val="4.822423551832441E-3"/>
                </c:manualLayout>
              </c:layout>
              <c:showLegendKey val="0"/>
              <c:showVal val="1"/>
              <c:showCatName val="0"/>
              <c:showSerName val="0"/>
              <c:showPercent val="0"/>
              <c:showBubbleSize val="0"/>
              <c:separator>, </c:separator>
            </c:dLbl>
            <c:dLbl>
              <c:idx val="7"/>
              <c:layout>
                <c:manualLayout>
                  <c:x val="-8.6047961872364895E-2"/>
                  <c:y val="2.411358116631838E-3"/>
                </c:manualLayout>
              </c:layout>
              <c:showLegendKey val="0"/>
              <c:showVal val="1"/>
              <c:showCatName val="0"/>
              <c:showSerName val="0"/>
              <c:showPercent val="0"/>
              <c:showBubbleSize val="0"/>
              <c:separator>, </c:separator>
            </c:dLbl>
            <c:dLbl>
              <c:idx val="8"/>
              <c:layout>
                <c:manualLayout>
                  <c:x val="-9.5097770006767043E-2"/>
                  <c:y val="5.301836183186478E-3"/>
                </c:manualLayout>
              </c:layout>
              <c:showLegendKey val="0"/>
              <c:showVal val="1"/>
              <c:showCatName val="0"/>
              <c:showSerName val="0"/>
              <c:showPercent val="0"/>
              <c:showBubbleSize val="0"/>
              <c:separator>, </c:separator>
            </c:dLbl>
            <c:dLbl>
              <c:idx val="9"/>
              <c:layout>
                <c:manualLayout>
                  <c:x val="-0.10003577693997263"/>
                  <c:y val="2.6509702622124968E-3"/>
                </c:manualLayout>
              </c:layout>
              <c:showLegendKey val="0"/>
              <c:showVal val="1"/>
              <c:showCatName val="0"/>
              <c:showSerName val="0"/>
              <c:showPercent val="0"/>
              <c:showBubbleSize val="0"/>
              <c:separator>, </c:separator>
            </c:dLbl>
            <c:dLbl>
              <c:idx val="10"/>
              <c:layout>
                <c:manualLayout>
                  <c:x val="-9.5195133318615552E-2"/>
                  <c:y val="3.2684884977613091E-3"/>
                </c:manualLayout>
              </c:layout>
              <c:showLegendKey val="0"/>
              <c:showVal val="1"/>
              <c:showCatName val="0"/>
              <c:showSerName val="0"/>
              <c:showPercent val="0"/>
              <c:showBubbleSize val="0"/>
              <c:separator>, </c:separator>
            </c:dLbl>
            <c:dLbl>
              <c:idx val="11"/>
              <c:layout>
                <c:manualLayout>
                  <c:x val="-9.1482653453365023E-2"/>
                  <c:y val="6.5374916370747778E-3"/>
                </c:manualLayout>
              </c:layout>
              <c:showLegendKey val="0"/>
              <c:showVal val="1"/>
              <c:showCatName val="0"/>
              <c:showSerName val="0"/>
              <c:showPercent val="0"/>
              <c:showBubbleSize val="0"/>
              <c:separator>, </c:separator>
            </c:dLbl>
            <c:dLbl>
              <c:idx val="12"/>
              <c:layout>
                <c:manualLayout>
                  <c:x val="-7.8835823092206936E-2"/>
                  <c:y val="5.6798414904019349E-3"/>
                </c:manualLayout>
              </c:layout>
              <c:tx>
                <c:rich>
                  <a:bodyPr/>
                  <a:lstStyle/>
                  <a:p>
                    <a:pPr>
                      <a:defRPr sz="1000" b="1"/>
                    </a:pPr>
                    <a:r>
                      <a:rPr lang="en-US" sz="1000" b="1"/>
                      <a:t>$95,000</a:t>
                    </a:r>
                    <a:endParaRPr lang="en-US"/>
                  </a:p>
                </c:rich>
              </c:tx>
              <c:numFmt formatCode="#,##0.00" sourceLinked="0"/>
              <c:spPr/>
              <c:showLegendKey val="0"/>
              <c:showVal val="1"/>
              <c:showCatName val="0"/>
              <c:showSerName val="0"/>
              <c:showPercent val="0"/>
              <c:showBubbleSize val="0"/>
            </c:dLbl>
            <c:txPr>
              <a:bodyPr/>
              <a:lstStyle/>
              <a:p>
                <a:pPr>
                  <a:defRPr sz="1000" b="1"/>
                </a:pPr>
                <a:endParaRPr lang="en-US"/>
              </a:p>
            </c:txPr>
            <c:showLegendKey val="0"/>
            <c:showVal val="1"/>
            <c:showCatName val="0"/>
            <c:showSerName val="0"/>
            <c:showPercent val="0"/>
            <c:showBubbleSize val="0"/>
            <c:separator>, </c:separator>
            <c:showLeaderLines val="0"/>
          </c:dLbls>
          <c:cat>
            <c:strRef>
              <c:f>chart!$F$2:$F$14</c:f>
              <c:strCache>
                <c:ptCount val="13"/>
                <c:pt idx="0">
                  <c:v>Albania    1</c:v>
                </c:pt>
                <c:pt idx="1">
                  <c:v>Azerbaijan    2</c:v>
                </c:pt>
                <c:pt idx="2">
                  <c:v>Bulgaria    5</c:v>
                </c:pt>
                <c:pt idx="3">
                  <c:v>Georgia    2</c:v>
                </c:pt>
                <c:pt idx="4">
                  <c:v>Hungary    2</c:v>
                </c:pt>
                <c:pt idx="5">
                  <c:v>Kazakhstan    1</c:v>
                </c:pt>
                <c:pt idx="6">
                  <c:v>Kyrgyzstan    2</c:v>
                </c:pt>
                <c:pt idx="7">
                  <c:v>Latvia    1</c:v>
                </c:pt>
                <c:pt idx="8">
                  <c:v>Poland    1</c:v>
                </c:pt>
                <c:pt idx="9">
                  <c:v>Romania    2</c:v>
                </c:pt>
                <c:pt idx="10">
                  <c:v>Russian Federation    1</c:v>
                </c:pt>
                <c:pt idx="11">
                  <c:v>Spain    1</c:v>
                </c:pt>
                <c:pt idx="12">
                  <c:v>Ukraine    2</c:v>
                </c:pt>
              </c:strCache>
            </c:strRef>
          </c:cat>
          <c:val>
            <c:numRef>
              <c:f>chart!$G$2:$G$14</c:f>
              <c:numCache>
                <c:formatCode>_("$"* #,##0_);_("$"* \(#,##0\);_("$"* "-"??_);_(@_)</c:formatCode>
                <c:ptCount val="13"/>
                <c:pt idx="0">
                  <c:v>37585</c:v>
                </c:pt>
                <c:pt idx="1">
                  <c:v>78868</c:v>
                </c:pt>
                <c:pt idx="2">
                  <c:v>350000</c:v>
                </c:pt>
                <c:pt idx="3">
                  <c:v>125000</c:v>
                </c:pt>
                <c:pt idx="4">
                  <c:v>290000</c:v>
                </c:pt>
                <c:pt idx="5">
                  <c:v>120000</c:v>
                </c:pt>
                <c:pt idx="6">
                  <c:v>130000</c:v>
                </c:pt>
                <c:pt idx="7">
                  <c:v>75000</c:v>
                </c:pt>
                <c:pt idx="8">
                  <c:v>155698</c:v>
                </c:pt>
                <c:pt idx="9">
                  <c:v>120000</c:v>
                </c:pt>
                <c:pt idx="10">
                  <c:v>60000</c:v>
                </c:pt>
                <c:pt idx="11">
                  <c:v>56185</c:v>
                </c:pt>
                <c:pt idx="12">
                  <c:v>95000</c:v>
                </c:pt>
              </c:numCache>
            </c:numRef>
          </c:val>
          <c:shape val="cylinder"/>
        </c:ser>
        <c:dLbls>
          <c:showLegendKey val="0"/>
          <c:showVal val="1"/>
          <c:showCatName val="0"/>
          <c:showSerName val="0"/>
          <c:showPercent val="0"/>
          <c:showBubbleSize val="0"/>
        </c:dLbls>
        <c:gapWidth val="51"/>
        <c:gapDepth val="70"/>
        <c:shape val="box"/>
        <c:axId val="74991104"/>
        <c:axId val="74993024"/>
        <c:axId val="0"/>
      </c:bar3DChart>
      <c:catAx>
        <c:axId val="74991104"/>
        <c:scaling>
          <c:orientation val="maxMin"/>
        </c:scaling>
        <c:delete val="0"/>
        <c:axPos val="l"/>
        <c:title>
          <c:tx>
            <c:rich>
              <a:bodyPr rot="0" vert="horz"/>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050">
                    <a:effectLst/>
                  </a:rPr>
                  <a:t>grants per country</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endParaRPr lang="en-US"/>
              </a:p>
            </c:rich>
          </c:tx>
          <c:layout>
            <c:manualLayout>
              <c:xMode val="edge"/>
              <c:yMode val="edge"/>
              <c:x val="5.7804585157108714E-2"/>
              <c:y val="0.14053761882020613"/>
            </c:manualLayout>
          </c:layout>
          <c:overlay val="0"/>
        </c:title>
        <c:numFmt formatCode="General" sourceLinked="0"/>
        <c:majorTickMark val="none"/>
        <c:minorTickMark val="none"/>
        <c:tickLblPos val="nextTo"/>
        <c:spPr>
          <a:effectLst>
            <a:glow rad="63500">
              <a:schemeClr val="accent3">
                <a:satMod val="175000"/>
                <a:alpha val="40000"/>
              </a:schemeClr>
            </a:glow>
          </a:effectLst>
        </c:spPr>
        <c:txPr>
          <a:bodyPr/>
          <a:lstStyle/>
          <a:p>
            <a:pPr>
              <a:defRPr sz="1100" b="1"/>
            </a:pPr>
            <a:endParaRPr lang="en-US"/>
          </a:p>
        </c:txPr>
        <c:crossAx val="74993024"/>
        <c:crosses val="autoZero"/>
        <c:auto val="1"/>
        <c:lblAlgn val="ctr"/>
        <c:lblOffset val="100"/>
        <c:noMultiLvlLbl val="0"/>
      </c:catAx>
      <c:valAx>
        <c:axId val="74993024"/>
        <c:scaling>
          <c:orientation val="minMax"/>
        </c:scaling>
        <c:delete val="1"/>
        <c:axPos val="t"/>
        <c:numFmt formatCode="_(&quot;$&quot;* #,##0_);_(&quot;$&quot;* \(#,##0\);_(&quot;$&quot;* &quot;-&quot;??_);_(@_)" sourceLinked="1"/>
        <c:majorTickMark val="none"/>
        <c:minorTickMark val="none"/>
        <c:tickLblPos val="nextTo"/>
        <c:crossAx val="7499110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300"/>
            </a:pPr>
            <a:r>
              <a:rPr lang="en-US" sz="1300"/>
              <a:t>Regional Grants</a:t>
            </a:r>
            <a:br>
              <a:rPr lang="en-US" sz="1300"/>
            </a:br>
            <a:r>
              <a:rPr lang="en-US" sz="1300"/>
              <a:t>4 grants</a:t>
            </a:r>
          </a:p>
        </c:rich>
      </c:tx>
      <c:layout>
        <c:manualLayout>
          <c:xMode val="edge"/>
          <c:yMode val="edge"/>
          <c:x val="0.39094155240479617"/>
          <c:y val="4.7170252043853368E-2"/>
        </c:manualLayout>
      </c:layout>
      <c:overlay val="0"/>
    </c:title>
    <c:autoTitleDeleted val="0"/>
    <c:view3D>
      <c:rotX val="15"/>
      <c:rotY val="20"/>
      <c:rAngAx val="1"/>
    </c:view3D>
    <c:floor>
      <c:thickness val="0"/>
    </c:floor>
    <c:sideWall>
      <c:thickness val="0"/>
      <c:spPr>
        <a:gradFill>
          <a:gsLst>
            <a:gs pos="0">
              <a:schemeClr val="accent1">
                <a:tint val="66000"/>
                <a:satMod val="160000"/>
              </a:schemeClr>
            </a:gs>
            <a:gs pos="74000">
              <a:schemeClr val="accent1">
                <a:tint val="44500"/>
                <a:satMod val="160000"/>
              </a:schemeClr>
            </a:gs>
            <a:gs pos="100000">
              <a:schemeClr val="accent1">
                <a:tint val="23500"/>
                <a:satMod val="160000"/>
              </a:schemeClr>
            </a:gs>
          </a:gsLst>
          <a:lin ang="2700000" scaled="1"/>
        </a:gradFill>
      </c:spPr>
    </c:sideWall>
    <c:backWall>
      <c:thickness val="0"/>
      <c:spPr>
        <a:gradFill>
          <a:gsLst>
            <a:gs pos="0">
              <a:schemeClr val="accent1">
                <a:tint val="66000"/>
                <a:satMod val="160000"/>
              </a:schemeClr>
            </a:gs>
            <a:gs pos="74000">
              <a:schemeClr val="accent1">
                <a:tint val="44500"/>
                <a:satMod val="160000"/>
              </a:schemeClr>
            </a:gs>
            <a:gs pos="100000">
              <a:schemeClr val="accent1">
                <a:tint val="23500"/>
                <a:satMod val="160000"/>
              </a:schemeClr>
            </a:gs>
          </a:gsLst>
          <a:lin ang="2700000" scaled="1"/>
        </a:gradFill>
      </c:spPr>
    </c:backWall>
    <c:plotArea>
      <c:layout>
        <c:manualLayout>
          <c:layoutTarget val="inner"/>
          <c:xMode val="edge"/>
          <c:yMode val="edge"/>
          <c:x val="0.48603593281489971"/>
          <c:y val="0.33007974481658692"/>
          <c:w val="0.50777211672070399"/>
          <c:h val="0.60612440191387562"/>
        </c:manualLayout>
      </c:layout>
      <c:bar3DChart>
        <c:barDir val="bar"/>
        <c:grouping val="clustered"/>
        <c:varyColors val="0"/>
        <c:ser>
          <c:idx val="0"/>
          <c:order val="0"/>
          <c:tx>
            <c:strRef>
              <c:f>chart!$F$17</c:f>
              <c:strCache>
                <c:ptCount val="1"/>
                <c:pt idx="0">
                  <c:v>Amount</c:v>
                </c:pt>
              </c:strCache>
            </c:strRef>
          </c:tx>
          <c:invertIfNegative val="0"/>
          <c:dLbls>
            <c:dLbl>
              <c:idx val="0"/>
              <c:layout>
                <c:manualLayout>
                  <c:x val="-0.12112189561871063"/>
                  <c:y val="2.0801811369554318E-2"/>
                </c:manualLayout>
              </c:layout>
              <c:showLegendKey val="0"/>
              <c:showVal val="1"/>
              <c:showCatName val="0"/>
              <c:showSerName val="0"/>
              <c:showPercent val="0"/>
              <c:showBubbleSize val="0"/>
            </c:dLbl>
            <c:dLbl>
              <c:idx val="1"/>
              <c:layout>
                <c:manualLayout>
                  <c:x val="-0.12914959496269315"/>
                  <c:y val="1.4356776725302936E-2"/>
                </c:manualLayout>
              </c:layout>
              <c:showLegendKey val="0"/>
              <c:showVal val="1"/>
              <c:showCatName val="0"/>
              <c:showSerName val="0"/>
              <c:showPercent val="0"/>
              <c:showBubbleSize val="0"/>
            </c:dLbl>
            <c:dLbl>
              <c:idx val="2"/>
              <c:layout>
                <c:manualLayout>
                  <c:x val="-0.10083092875703284"/>
                  <c:y val="1.582235375174719E-2"/>
                </c:manualLayout>
              </c:layout>
              <c:showLegendKey val="0"/>
              <c:showVal val="1"/>
              <c:showCatName val="0"/>
              <c:showSerName val="0"/>
              <c:showPercent val="0"/>
              <c:showBubbleSize val="0"/>
            </c:dLbl>
            <c:txPr>
              <a:bodyPr/>
              <a:lstStyle/>
              <a:p>
                <a:pPr>
                  <a:defRPr b="1"/>
                </a:pPr>
                <a:endParaRPr lang="en-US"/>
              </a:p>
            </c:txPr>
            <c:showLegendKey val="0"/>
            <c:showVal val="1"/>
            <c:showCatName val="0"/>
            <c:showSerName val="0"/>
            <c:showPercent val="0"/>
            <c:showBubbleSize val="0"/>
            <c:showLeaderLines val="0"/>
          </c:dLbls>
          <c:cat>
            <c:strRef>
              <c:f>chart!$E$18:$E$20</c:f>
              <c:strCache>
                <c:ptCount val="3"/>
                <c:pt idx="0">
                  <c:v>Women’s Human Rights Training Institute (English)    2 grants</c:v>
                </c:pt>
                <c:pt idx="1">
                  <c:v>International Lawyers Training Institute (Russian)    </c:v>
                </c:pt>
                <c:pt idx="2">
                  <c:v>Interights    </c:v>
                </c:pt>
              </c:strCache>
            </c:strRef>
          </c:cat>
          <c:val>
            <c:numRef>
              <c:f>chart!$F$18:$F$20</c:f>
              <c:numCache>
                <c:formatCode>_("$"* #,##0_);_("$"* \(#,##0\);_("$"* "-"??_);_(@_)</c:formatCode>
                <c:ptCount val="3"/>
                <c:pt idx="0">
                  <c:v>310000</c:v>
                </c:pt>
                <c:pt idx="1">
                  <c:v>248194</c:v>
                </c:pt>
                <c:pt idx="2">
                  <c:v>110000</c:v>
                </c:pt>
              </c:numCache>
            </c:numRef>
          </c:val>
        </c:ser>
        <c:dLbls>
          <c:showLegendKey val="0"/>
          <c:showVal val="1"/>
          <c:showCatName val="0"/>
          <c:showSerName val="0"/>
          <c:showPercent val="0"/>
          <c:showBubbleSize val="0"/>
        </c:dLbls>
        <c:gapWidth val="59"/>
        <c:gapDepth val="72"/>
        <c:shape val="cylinder"/>
        <c:axId val="27893120"/>
        <c:axId val="27908352"/>
        <c:axId val="0"/>
      </c:bar3DChart>
      <c:catAx>
        <c:axId val="27893120"/>
        <c:scaling>
          <c:orientation val="maxMin"/>
        </c:scaling>
        <c:delete val="0"/>
        <c:axPos val="l"/>
        <c:majorTickMark val="none"/>
        <c:minorTickMark val="none"/>
        <c:tickLblPos val="nextTo"/>
        <c:txPr>
          <a:bodyPr anchor="ctr" anchorCtr="0"/>
          <a:lstStyle/>
          <a:p>
            <a:pPr>
              <a:defRPr sz="1050" b="1"/>
            </a:pPr>
            <a:endParaRPr lang="en-US"/>
          </a:p>
        </c:txPr>
        <c:crossAx val="27908352"/>
        <c:crosses val="autoZero"/>
        <c:auto val="1"/>
        <c:lblAlgn val="ctr"/>
        <c:lblOffset val="100"/>
        <c:noMultiLvlLbl val="0"/>
      </c:catAx>
      <c:valAx>
        <c:axId val="27908352"/>
        <c:scaling>
          <c:orientation val="minMax"/>
        </c:scaling>
        <c:delete val="1"/>
        <c:axPos val="t"/>
        <c:numFmt formatCode="_(&quot;$&quot;* #,##0_);_(&quot;$&quot;* \(#,##0\);_(&quot;$&quot;* &quot;-&quot;??_);_(@_)" sourceLinked="1"/>
        <c:majorTickMark val="none"/>
        <c:minorTickMark val="none"/>
        <c:tickLblPos val="nextTo"/>
        <c:crossAx val="2789312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F17F2-D583-45AB-9D8E-6B6148EBA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5243</Words>
  <Characters>29890</Characters>
  <Application>Microsoft Office Word</Application>
  <DocSecurity>4</DocSecurity>
  <Lines>249</Lines>
  <Paragraphs>70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OSF</Company>
  <LinksUpToDate>false</LinksUpToDate>
  <CharactersWithSpaces>35063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Herta Toth</dc:creator>
  <cp:lastModifiedBy>Daphne Panayotatos</cp:lastModifiedBy>
  <cp:revision>2</cp:revision>
  <cp:lastPrinted>2015-01-29T15:00:00Z</cp:lastPrinted>
  <dcterms:created xsi:type="dcterms:W3CDTF">2015-02-10T21:47:00Z</dcterms:created>
  <dcterms:modified xsi:type="dcterms:W3CDTF">2015-02-10T21:47:00Z</dcterms:modified>
</cp:coreProperties>
</file>