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F5D" w:rsidRPr="004B418E" w:rsidRDefault="00A20F5D" w:rsidP="005E7E7F">
      <w:pPr>
        <w:spacing w:after="0"/>
        <w:ind w:right="-244"/>
        <w:jc w:val="center"/>
        <w:rPr>
          <w:b/>
          <w:iCs/>
          <w:sz w:val="24"/>
          <w:szCs w:val="24"/>
        </w:rPr>
      </w:pPr>
      <w:bookmarkStart w:id="0" w:name="_GoBack"/>
      <w:bookmarkEnd w:id="0"/>
      <w:r w:rsidRPr="004B418E">
        <w:rPr>
          <w:b/>
          <w:iCs/>
          <w:sz w:val="24"/>
          <w:szCs w:val="24"/>
        </w:rPr>
        <w:t>Human Rights Initiative: Own Initiative to Challenge Marginalizing Laws and P</w:t>
      </w:r>
      <w:r w:rsidR="00D24AC6">
        <w:rPr>
          <w:b/>
          <w:iCs/>
          <w:sz w:val="24"/>
          <w:szCs w:val="24"/>
        </w:rPr>
        <w:t>olicies</w:t>
      </w:r>
    </w:p>
    <w:p w:rsidR="00A20F5D" w:rsidRPr="004B418E" w:rsidRDefault="00A20F5D" w:rsidP="009415DC">
      <w:pPr>
        <w:spacing w:after="120"/>
        <w:ind w:right="-334"/>
        <w:jc w:val="center"/>
        <w:rPr>
          <w:b/>
          <w:iCs/>
          <w:sz w:val="26"/>
          <w:szCs w:val="26"/>
          <w:u w:val="single"/>
        </w:rPr>
      </w:pPr>
      <w:r w:rsidRPr="004B418E">
        <w:rPr>
          <w:b/>
          <w:iCs/>
          <w:sz w:val="26"/>
          <w:szCs w:val="26"/>
          <w:u w:val="single"/>
        </w:rPr>
        <w:t xml:space="preserve">Portfolio Review: CRPD Article 12, Restoring Legal </w:t>
      </w:r>
      <w:r w:rsidR="00D63CA7">
        <w:rPr>
          <w:b/>
          <w:iCs/>
          <w:sz w:val="26"/>
          <w:szCs w:val="26"/>
          <w:u w:val="single"/>
        </w:rPr>
        <w:t>Personhood</w:t>
      </w:r>
      <w:r w:rsidR="00F35C28" w:rsidRPr="004B418E">
        <w:rPr>
          <w:b/>
          <w:iCs/>
          <w:sz w:val="26"/>
          <w:szCs w:val="26"/>
          <w:u w:val="single"/>
        </w:rPr>
        <w:t xml:space="preserve">, </w:t>
      </w:r>
      <w:r w:rsidRPr="004B418E">
        <w:rPr>
          <w:b/>
          <w:iCs/>
          <w:sz w:val="24"/>
          <w:szCs w:val="24"/>
          <w:u w:val="single"/>
        </w:rPr>
        <w:t>2011 – 2014</w:t>
      </w:r>
    </w:p>
    <w:p w:rsidR="00846CD2" w:rsidRPr="00041895" w:rsidRDefault="00846CD2" w:rsidP="009415DC">
      <w:pPr>
        <w:ind w:right="-334"/>
        <w:rPr>
          <w:b/>
          <w:u w:val="single"/>
        </w:rPr>
      </w:pPr>
      <w:r w:rsidRPr="00041895">
        <w:rPr>
          <w:b/>
          <w:u w:val="single"/>
        </w:rPr>
        <w:t>Overview</w:t>
      </w:r>
    </w:p>
    <w:p w:rsidR="007B3D4F" w:rsidRDefault="003B5545" w:rsidP="009415DC">
      <w:pPr>
        <w:ind w:right="-334"/>
        <w:rPr>
          <w:bCs/>
        </w:rPr>
      </w:pPr>
      <w:r>
        <w:rPr>
          <w:bCs/>
        </w:rPr>
        <w:t xml:space="preserve">Recognizing legal personhood is a </w:t>
      </w:r>
      <w:r w:rsidR="00577C83">
        <w:rPr>
          <w:bCs/>
        </w:rPr>
        <w:t xml:space="preserve">basic </w:t>
      </w:r>
      <w:r>
        <w:rPr>
          <w:bCs/>
        </w:rPr>
        <w:t>right u</w:t>
      </w:r>
      <w:r w:rsidR="00CF509A">
        <w:rPr>
          <w:bCs/>
        </w:rPr>
        <w:t>pon which all other rights rest</w:t>
      </w:r>
      <w:r w:rsidR="007B3D4F">
        <w:rPr>
          <w:bCs/>
        </w:rPr>
        <w:t>.</w:t>
      </w:r>
      <w:r w:rsidR="00C235E7">
        <w:rPr>
          <w:bCs/>
        </w:rPr>
        <w:t xml:space="preserve"> </w:t>
      </w:r>
      <w:r w:rsidR="007B3D4F">
        <w:rPr>
          <w:bCs/>
        </w:rPr>
        <w:t xml:space="preserve">A web of laws and </w:t>
      </w:r>
      <w:r w:rsidR="00896E5D">
        <w:rPr>
          <w:bCs/>
        </w:rPr>
        <w:t>policies</w:t>
      </w:r>
      <w:r w:rsidR="005E7E7F">
        <w:rPr>
          <w:bCs/>
        </w:rPr>
        <w:t xml:space="preserve">, </w:t>
      </w:r>
      <w:r w:rsidR="007B3D4F">
        <w:rPr>
          <w:bCs/>
        </w:rPr>
        <w:t xml:space="preserve">mirroring social attitudes, </w:t>
      </w:r>
      <w:r w:rsidR="00F54F28">
        <w:rPr>
          <w:bCs/>
        </w:rPr>
        <w:t xml:space="preserve">however, </w:t>
      </w:r>
      <w:r w:rsidR="007B3D4F">
        <w:rPr>
          <w:bCs/>
        </w:rPr>
        <w:t>make</w:t>
      </w:r>
      <w:r w:rsidR="00262972">
        <w:rPr>
          <w:bCs/>
        </w:rPr>
        <w:t>s</w:t>
      </w:r>
      <w:r w:rsidR="007B3D4F">
        <w:rPr>
          <w:bCs/>
        </w:rPr>
        <w:t xml:space="preserve"> persons with disabilities invisible as equal legal persons before the law. Article 12 of the </w:t>
      </w:r>
      <w:r w:rsidR="00C235E7">
        <w:rPr>
          <w:bCs/>
        </w:rPr>
        <w:t xml:space="preserve">UN Convention on the Rights of Persons with Disabilities (CRPD) </w:t>
      </w:r>
      <w:r w:rsidR="007B3D4F">
        <w:rPr>
          <w:bCs/>
        </w:rPr>
        <w:t xml:space="preserve">marks a paradigm shift </w:t>
      </w:r>
      <w:r w:rsidR="00262972">
        <w:rPr>
          <w:bCs/>
        </w:rPr>
        <w:t xml:space="preserve">by </w:t>
      </w:r>
      <w:r w:rsidR="007B3D4F">
        <w:rPr>
          <w:bCs/>
        </w:rPr>
        <w:t xml:space="preserve">recognizing </w:t>
      </w:r>
      <w:r w:rsidR="00D24AC6">
        <w:rPr>
          <w:bCs/>
        </w:rPr>
        <w:t xml:space="preserve">the right of </w:t>
      </w:r>
      <w:r w:rsidR="007B3D4F">
        <w:rPr>
          <w:bCs/>
        </w:rPr>
        <w:t xml:space="preserve">persons with disabilities to enjoy legal capacity on an equal basis with others in all aspects of life. </w:t>
      </w:r>
    </w:p>
    <w:p w:rsidR="00E471C6" w:rsidRDefault="00E471C6" w:rsidP="005E7E7F">
      <w:pPr>
        <w:ind w:right="-334"/>
        <w:rPr>
          <w:bCs/>
        </w:rPr>
      </w:pPr>
      <w:r>
        <w:rPr>
          <w:bCs/>
        </w:rPr>
        <w:t>This portfolio is about implement</w:t>
      </w:r>
      <w:r w:rsidR="00C44EC2">
        <w:rPr>
          <w:bCs/>
        </w:rPr>
        <w:t>ing</w:t>
      </w:r>
      <w:r>
        <w:rPr>
          <w:bCs/>
        </w:rPr>
        <w:t xml:space="preserve"> </w:t>
      </w:r>
      <w:r w:rsidR="00C44EC2">
        <w:rPr>
          <w:bCs/>
        </w:rPr>
        <w:t xml:space="preserve">this right. </w:t>
      </w:r>
      <w:r>
        <w:rPr>
          <w:bCs/>
        </w:rPr>
        <w:t>It is an ambitious endeavor</w:t>
      </w:r>
      <w:r w:rsidR="00F54F28">
        <w:rPr>
          <w:bCs/>
        </w:rPr>
        <w:t>—no country in the world currently fully recognizes the legal capacity of people with disabilities</w:t>
      </w:r>
      <w:r>
        <w:rPr>
          <w:bCs/>
        </w:rPr>
        <w:t xml:space="preserve">. </w:t>
      </w:r>
      <w:r w:rsidR="00F43CC7">
        <w:rPr>
          <w:bCs/>
        </w:rPr>
        <w:t xml:space="preserve">Recognizing legal personhood requires rethinking legal and social constructs premised on the notion that protection of persons with disabilities by necessity trumps autonomy. </w:t>
      </w:r>
      <w:r>
        <w:rPr>
          <w:bCs/>
        </w:rPr>
        <w:t xml:space="preserve">Guided by Article 12, we have embarked on </w:t>
      </w:r>
      <w:r w:rsidR="00F54F28">
        <w:rPr>
          <w:bCs/>
        </w:rPr>
        <w:t xml:space="preserve">a </w:t>
      </w:r>
      <w:r>
        <w:rPr>
          <w:bCs/>
        </w:rPr>
        <w:t xml:space="preserve">journey </w:t>
      </w:r>
      <w:r w:rsidR="00C44EC2">
        <w:rPr>
          <w:bCs/>
        </w:rPr>
        <w:t xml:space="preserve">to </w:t>
      </w:r>
      <w:r w:rsidR="00C1426C">
        <w:rPr>
          <w:bCs/>
        </w:rPr>
        <w:t xml:space="preserve">understand through practice how </w:t>
      </w:r>
      <w:r>
        <w:rPr>
          <w:bCs/>
        </w:rPr>
        <w:t>autonomy and protection</w:t>
      </w:r>
      <w:r w:rsidR="00C1426C">
        <w:rPr>
          <w:bCs/>
        </w:rPr>
        <w:t xml:space="preserve"> can be balanced so that the rights of people with disabilities are protected.</w:t>
      </w:r>
      <w:r w:rsidR="00C44EC2">
        <w:rPr>
          <w:bCs/>
        </w:rPr>
        <w:t xml:space="preserve"> </w:t>
      </w:r>
    </w:p>
    <w:p w:rsidR="00A36722" w:rsidRPr="00041895" w:rsidRDefault="00A36722" w:rsidP="009415DC">
      <w:pPr>
        <w:ind w:right="-334"/>
        <w:rPr>
          <w:b/>
          <w:u w:val="single"/>
        </w:rPr>
      </w:pPr>
      <w:r w:rsidRPr="00041895">
        <w:rPr>
          <w:b/>
          <w:u w:val="single"/>
        </w:rPr>
        <w:t>Portfolio at a glance</w:t>
      </w:r>
    </w:p>
    <w:p w:rsidR="005732BE" w:rsidRDefault="00751832" w:rsidP="009415DC">
      <w:pPr>
        <w:ind w:right="-334"/>
      </w:pPr>
      <w:r>
        <w:t>In May 2011</w:t>
      </w:r>
      <w:r w:rsidR="00843DEC">
        <w:t>,</w:t>
      </w:r>
      <w:r>
        <w:t xml:space="preserve"> </w:t>
      </w:r>
      <w:r w:rsidR="00BE5A6A">
        <w:t>the Human Rights Initiative convened a roundtable</w:t>
      </w:r>
      <w:r w:rsidRPr="008B3CE2">
        <w:t xml:space="preserve"> </w:t>
      </w:r>
      <w:r w:rsidR="00846CD2">
        <w:t xml:space="preserve">in Vancouver </w:t>
      </w:r>
      <w:r w:rsidR="00BE5A6A">
        <w:t>that</w:t>
      </w:r>
      <w:r w:rsidRPr="008B3CE2">
        <w:t xml:space="preserve"> raised some of the most complex questions </w:t>
      </w:r>
      <w:r w:rsidR="00846CD2">
        <w:t xml:space="preserve">on the </w:t>
      </w:r>
      <w:r w:rsidRPr="008B3CE2">
        <w:t xml:space="preserve">implementation of </w:t>
      </w:r>
      <w:r w:rsidR="00C235E7">
        <w:t xml:space="preserve">CRPD </w:t>
      </w:r>
      <w:r>
        <w:t>Article 12</w:t>
      </w:r>
      <w:r w:rsidR="00AA26FE">
        <w:t>,</w:t>
      </w:r>
      <w:r>
        <w:t xml:space="preserve"> on equal recognition before the law and legal capacity. </w:t>
      </w:r>
      <w:r w:rsidR="00BE5A6A">
        <w:t xml:space="preserve">The roundtable </w:t>
      </w:r>
      <w:r w:rsidR="005732BE">
        <w:t>was part of a s</w:t>
      </w:r>
      <w:r w:rsidR="00AA26FE">
        <w:t xml:space="preserve">eries of </w:t>
      </w:r>
      <w:r w:rsidR="00BE5A6A">
        <w:t xml:space="preserve">conversations </w:t>
      </w:r>
      <w:r w:rsidR="005732BE">
        <w:t>the Human Rights Initiative</w:t>
      </w:r>
      <w:r w:rsidR="00201DCB">
        <w:t xml:space="preserve"> had sponsored over the preceding </w:t>
      </w:r>
      <w:r w:rsidR="00846CD2">
        <w:t xml:space="preserve">year </w:t>
      </w:r>
      <w:r w:rsidR="00DC0237">
        <w:t>involving</w:t>
      </w:r>
      <w:r w:rsidR="00BE5A6A">
        <w:t xml:space="preserve"> some of the foremost </w:t>
      </w:r>
      <w:r w:rsidR="00BE5A6A" w:rsidRPr="008B3CE2">
        <w:t xml:space="preserve">advocates </w:t>
      </w:r>
      <w:r w:rsidR="00BE5A6A">
        <w:t>in the disability</w:t>
      </w:r>
      <w:r w:rsidR="007468AE">
        <w:t xml:space="preserve"> rights</w:t>
      </w:r>
      <w:r w:rsidR="00BE5A6A">
        <w:t xml:space="preserve"> field</w:t>
      </w:r>
      <w:r w:rsidR="00027EB4">
        <w:t xml:space="preserve"> with the aim of </w:t>
      </w:r>
      <w:r w:rsidR="00AA26FE">
        <w:t>resolv</w:t>
      </w:r>
      <w:r w:rsidR="00201DCB">
        <w:t>ing</w:t>
      </w:r>
      <w:r w:rsidR="00AA26FE">
        <w:t xml:space="preserve"> </w:t>
      </w:r>
      <w:r w:rsidR="005732BE">
        <w:t xml:space="preserve">theoretical differences within the disability rights community over the interpretation of Article 12. </w:t>
      </w:r>
    </w:p>
    <w:p w:rsidR="00236ABD" w:rsidRDefault="00E62F6D" w:rsidP="009415DC">
      <w:pPr>
        <w:ind w:right="-334"/>
      </w:pPr>
      <w:r>
        <w:t xml:space="preserve">It </w:t>
      </w:r>
      <w:r w:rsidR="005732BE">
        <w:t xml:space="preserve">was the last of such meetings. </w:t>
      </w:r>
      <w:r w:rsidR="00AA26FE">
        <w:t>F</w:t>
      </w:r>
      <w:r w:rsidR="005732BE">
        <w:t xml:space="preserve">ollowing another </w:t>
      </w:r>
      <w:r w:rsidR="006514F3">
        <w:t>impasse</w:t>
      </w:r>
      <w:r w:rsidR="005732BE">
        <w:t xml:space="preserve"> in the debate</w:t>
      </w:r>
      <w:r w:rsidR="00AA26FE">
        <w:t xml:space="preserve">, we </w:t>
      </w:r>
      <w:r w:rsidR="00201DCB">
        <w:t xml:space="preserve">decided </w:t>
      </w:r>
      <w:r w:rsidR="005732BE">
        <w:t xml:space="preserve">that </w:t>
      </w:r>
      <w:r w:rsidR="00AA26FE">
        <w:t>a different approach was required</w:t>
      </w:r>
      <w:r w:rsidR="00201DCB">
        <w:t>.</w:t>
      </w:r>
      <w:r w:rsidR="006514F3">
        <w:t xml:space="preserve"> </w:t>
      </w:r>
      <w:r w:rsidR="00201DCB">
        <w:t>Rather than a</w:t>
      </w:r>
      <w:r w:rsidR="006514F3">
        <w:t>ttempting to resolve interpretative questions in the abstract</w:t>
      </w:r>
      <w:r w:rsidR="00201DCB">
        <w:t>, we</w:t>
      </w:r>
      <w:r w:rsidR="006514F3">
        <w:t xml:space="preserve"> </w:t>
      </w:r>
      <w:r w:rsidR="00201DCB">
        <w:t xml:space="preserve">realized we must invest in operationalizing Article 12 in a variety of contexts. </w:t>
      </w:r>
    </w:p>
    <w:p w:rsidR="008351B3" w:rsidRDefault="00AA26FE" w:rsidP="009415DC">
      <w:pPr>
        <w:ind w:right="-334"/>
      </w:pPr>
      <w:r>
        <w:t>Several months later,</w:t>
      </w:r>
      <w:r w:rsidR="00896E5D">
        <w:t xml:space="preserve"> </w:t>
      </w:r>
      <w:r>
        <w:t>the Human Rights Initiative convened</w:t>
      </w:r>
      <w:r w:rsidR="008A19CE">
        <w:t>,</w:t>
      </w:r>
      <w:r>
        <w:t xml:space="preserve"> </w:t>
      </w:r>
      <w:r w:rsidR="008A19CE">
        <w:t xml:space="preserve">in Madrid, </w:t>
      </w:r>
      <w:r>
        <w:t>“From Theory to Practice</w:t>
      </w:r>
      <w:r w:rsidR="0013250E">
        <w:t>: A Workshop to Explore Article 12 Implementation</w:t>
      </w:r>
      <w:r>
        <w:t xml:space="preserve">” </w:t>
      </w:r>
      <w:r w:rsidR="00E62F6D">
        <w:t xml:space="preserve">with </w:t>
      </w:r>
      <w:r>
        <w:t xml:space="preserve">all of our grantees and partners promoting </w:t>
      </w:r>
      <w:r w:rsidR="00E62F6D">
        <w:t>this right</w:t>
      </w:r>
      <w:r>
        <w:t xml:space="preserve">. </w:t>
      </w:r>
      <w:r w:rsidR="00287CBD">
        <w:t xml:space="preserve">The meeting </w:t>
      </w:r>
      <w:r w:rsidR="00FB16D5">
        <w:t xml:space="preserve">cemented </w:t>
      </w:r>
      <w:r w:rsidR="00287CBD">
        <w:t>a fundamental shift in our strategy</w:t>
      </w:r>
      <w:r w:rsidR="004A6884">
        <w:t>,</w:t>
      </w:r>
      <w:r w:rsidR="00740717">
        <w:t xml:space="preserve"> from </w:t>
      </w:r>
      <w:r w:rsidR="008351B3">
        <w:t>conceptual deliberation</w:t>
      </w:r>
      <w:r w:rsidR="009F4AC7">
        <w:t>s</w:t>
      </w:r>
      <w:r w:rsidR="00740717">
        <w:t xml:space="preserve"> to</w:t>
      </w:r>
      <w:r w:rsidR="00FB16D5">
        <w:t xml:space="preserve"> supporting</w:t>
      </w:r>
      <w:r w:rsidR="008351B3">
        <w:t xml:space="preserve"> national-level </w:t>
      </w:r>
      <w:r w:rsidR="00270CD1">
        <w:t>reform</w:t>
      </w:r>
      <w:r w:rsidR="008351B3">
        <w:t xml:space="preserve">, including </w:t>
      </w:r>
      <w:r w:rsidR="0029703D">
        <w:t xml:space="preserve">practical </w:t>
      </w:r>
      <w:r w:rsidR="008351B3">
        <w:t xml:space="preserve">models </w:t>
      </w:r>
      <w:r w:rsidR="004B4D00">
        <w:t>of supported decision-making</w:t>
      </w:r>
      <w:r w:rsidR="00270CD1">
        <w:t xml:space="preserve"> </w:t>
      </w:r>
      <w:r w:rsidR="00E62F6D">
        <w:t>(whereby, for example, a trusted person, a legal representation agreement</w:t>
      </w:r>
      <w:r w:rsidR="00C1426C">
        <w:t>,</w:t>
      </w:r>
      <w:r w:rsidR="00E62F6D">
        <w:t xml:space="preserve"> or advance directives augment one’s autonomy in decision-making) </w:t>
      </w:r>
      <w:r w:rsidR="00270CD1">
        <w:t>as an alternative to guardianship</w:t>
      </w:r>
      <w:r w:rsidR="0029703D">
        <w:t xml:space="preserve"> or to the denial of agency in family and community settings. The</w:t>
      </w:r>
      <w:r w:rsidR="008351B3">
        <w:t xml:space="preserve"> portfolio </w:t>
      </w:r>
      <w:r w:rsidR="00270CD1">
        <w:t xml:space="preserve">of grants </w:t>
      </w:r>
      <w:r w:rsidR="008351B3">
        <w:t xml:space="preserve">reviewed here </w:t>
      </w:r>
      <w:r w:rsidR="0029703D">
        <w:t xml:space="preserve">includes </w:t>
      </w:r>
      <w:r w:rsidR="008351B3">
        <w:t xml:space="preserve">the work we </w:t>
      </w:r>
      <w:r w:rsidR="00423B5A">
        <w:t xml:space="preserve">have supported since </w:t>
      </w:r>
      <w:r w:rsidR="00E62F6D">
        <w:t>this</w:t>
      </w:r>
      <w:r w:rsidR="009F4AC7">
        <w:t xml:space="preserve"> </w:t>
      </w:r>
      <w:r w:rsidR="008351B3">
        <w:t xml:space="preserve">meeting. </w:t>
      </w:r>
    </w:p>
    <w:p w:rsidR="002310D3" w:rsidRDefault="002310D3" w:rsidP="00E429F4">
      <w:pPr>
        <w:ind w:right="-334"/>
      </w:pPr>
      <w:r>
        <w:t xml:space="preserve">Since the end of 2011, the Human Rights Initiative </w:t>
      </w:r>
      <w:r w:rsidR="00FB16D5">
        <w:t xml:space="preserve">has given </w:t>
      </w:r>
      <w:r>
        <w:t xml:space="preserve">grants </w:t>
      </w:r>
      <w:r w:rsidR="009C6D4C">
        <w:t xml:space="preserve">to 35 groups </w:t>
      </w:r>
      <w:r>
        <w:t xml:space="preserve">for work to promote CRPD Article 12 </w:t>
      </w:r>
      <w:r w:rsidR="00497E6F">
        <w:t>at nearly</w:t>
      </w:r>
      <w:r w:rsidR="00C1426C">
        <w:t xml:space="preserve"> </w:t>
      </w:r>
      <w:r w:rsidR="00A10637">
        <w:t>$4 million. In 2014</w:t>
      </w:r>
      <w:r w:rsidR="00104679">
        <w:t>,</w:t>
      </w:r>
      <w:r w:rsidR="00A10637">
        <w:t xml:space="preserve"> </w:t>
      </w:r>
      <w:r>
        <w:t xml:space="preserve">we </w:t>
      </w:r>
      <w:r w:rsidR="00A10637">
        <w:t>are providing</w:t>
      </w:r>
      <w:r>
        <w:t xml:space="preserve"> </w:t>
      </w:r>
      <w:r w:rsidR="00A10637">
        <w:t xml:space="preserve">close to $1.3 million </w:t>
      </w:r>
      <w:r>
        <w:t xml:space="preserve">to </w:t>
      </w:r>
      <w:r w:rsidR="00A10637">
        <w:t xml:space="preserve">21 </w:t>
      </w:r>
      <w:r>
        <w:t>groups</w:t>
      </w:r>
      <w:r w:rsidR="00A10637">
        <w:t xml:space="preserve"> (inclu</w:t>
      </w:r>
      <w:r w:rsidR="00C07168">
        <w:t>ding grants that began in 2013);</w:t>
      </w:r>
      <w:r w:rsidR="00A10637">
        <w:t xml:space="preserve"> if all the </w:t>
      </w:r>
      <w:r>
        <w:t xml:space="preserve">anticipated </w:t>
      </w:r>
      <w:r w:rsidR="00A10637">
        <w:t xml:space="preserve">grants come through </w:t>
      </w:r>
      <w:r w:rsidR="00027EB4">
        <w:t xml:space="preserve">in the second half of </w:t>
      </w:r>
      <w:r>
        <w:t>2014</w:t>
      </w:r>
      <w:r w:rsidR="00104679">
        <w:t>,</w:t>
      </w:r>
      <w:r w:rsidR="00A10637">
        <w:t xml:space="preserve"> the sum will increase to</w:t>
      </w:r>
      <w:r w:rsidR="00104679">
        <w:t xml:space="preserve"> nearly $1.77 million supporting </w:t>
      </w:r>
      <w:r w:rsidR="00A10637">
        <w:t>32 groups</w:t>
      </w:r>
      <w:r>
        <w:t xml:space="preserve">. </w:t>
      </w:r>
      <w:r w:rsidR="00104679">
        <w:t xml:space="preserve">The regional distribution of funding </w:t>
      </w:r>
      <w:r w:rsidR="00C07168">
        <w:t>is $450,000 to Central and Eastern Europe, with Latin America</w:t>
      </w:r>
      <w:r>
        <w:t xml:space="preserve"> and Africa </w:t>
      </w:r>
      <w:r w:rsidR="00C07168">
        <w:t xml:space="preserve">following behind at </w:t>
      </w:r>
      <w:r>
        <w:t xml:space="preserve">roughly </w:t>
      </w:r>
      <w:r w:rsidR="00C07168">
        <w:t>$250,000 each</w:t>
      </w:r>
      <w:r>
        <w:t xml:space="preserve">. </w:t>
      </w:r>
      <w:r w:rsidR="00C07168">
        <w:t>Global grants—</w:t>
      </w:r>
      <w:r w:rsidR="00104679">
        <w:t xml:space="preserve">for </w:t>
      </w:r>
      <w:r w:rsidR="00E429F4">
        <w:t xml:space="preserve">regional and international advocates and conveners and </w:t>
      </w:r>
      <w:r w:rsidR="00C07168">
        <w:t xml:space="preserve">experts </w:t>
      </w:r>
      <w:r w:rsidR="00E429F4">
        <w:t xml:space="preserve">working with </w:t>
      </w:r>
      <w:r w:rsidR="00C07168">
        <w:t xml:space="preserve">in-country partners—reach $650,000, including two sizeable grants to </w:t>
      </w:r>
      <w:r w:rsidR="00E429F4">
        <w:t xml:space="preserve">our </w:t>
      </w:r>
      <w:r w:rsidR="00C07168">
        <w:t>strategic partners and movement</w:t>
      </w:r>
      <w:r w:rsidR="00104679">
        <w:t>-</w:t>
      </w:r>
      <w:r w:rsidR="00C07168">
        <w:t>builders on legal capacity (Mental Disability Advocacy Center and Inclusion International). Several “outlier” grants go</w:t>
      </w:r>
      <w:r>
        <w:t xml:space="preserve"> to a legal advocacy group in China</w:t>
      </w:r>
      <w:r w:rsidR="00C07168">
        <w:t xml:space="preserve"> and </w:t>
      </w:r>
      <w:r w:rsidR="00E429F4">
        <w:t xml:space="preserve">to </w:t>
      </w:r>
      <w:r w:rsidR="00104679">
        <w:t xml:space="preserve">supported decision-making </w:t>
      </w:r>
      <w:r w:rsidR="00C07168">
        <w:t>pilots in the US (</w:t>
      </w:r>
      <w:r w:rsidR="001A26B4">
        <w:t xml:space="preserve">the latter is </w:t>
      </w:r>
      <w:r w:rsidR="00C07168">
        <w:t>pending)</w:t>
      </w:r>
      <w:r>
        <w:t xml:space="preserve">. Our support covers the whole gamut of organizations: </w:t>
      </w:r>
      <w:r w:rsidR="00027EB4">
        <w:t xml:space="preserve">advocacy and self-advocacy organizations focusing on the rights of persons with disabilities, family organizations, </w:t>
      </w:r>
      <w:r>
        <w:t>mainstream human rights organizations</w:t>
      </w:r>
      <w:r w:rsidR="00027EB4">
        <w:t>,</w:t>
      </w:r>
      <w:r>
        <w:t xml:space="preserve"> academi</w:t>
      </w:r>
      <w:r w:rsidR="007468AE">
        <w:t>c and</w:t>
      </w:r>
      <w:r>
        <w:t xml:space="preserve"> research institutes</w:t>
      </w:r>
      <w:r w:rsidR="00205FB9">
        <w:t>,</w:t>
      </w:r>
      <w:r>
        <w:t xml:space="preserve"> and </w:t>
      </w:r>
      <w:r w:rsidR="00E16AEA">
        <w:lastRenderedPageBreak/>
        <w:t xml:space="preserve">university-based </w:t>
      </w:r>
      <w:r>
        <w:t>legal clinics</w:t>
      </w:r>
      <w:r w:rsidR="00205FB9">
        <w:t>—</w:t>
      </w:r>
      <w:r>
        <w:t>reflecting the multi-stakeholder and multi-sector</w:t>
      </w:r>
      <w:r w:rsidR="001D1A6F">
        <w:t>i</w:t>
      </w:r>
      <w:r>
        <w:t xml:space="preserve">al approach necessary to bring about change in this field. </w:t>
      </w:r>
    </w:p>
    <w:p w:rsidR="002310D3" w:rsidRPr="00041895" w:rsidRDefault="002310D3" w:rsidP="009415DC">
      <w:pPr>
        <w:ind w:right="-334"/>
        <w:rPr>
          <w:b/>
          <w:u w:val="single"/>
        </w:rPr>
      </w:pPr>
      <w:r w:rsidRPr="00041895">
        <w:rPr>
          <w:b/>
          <w:u w:val="single"/>
        </w:rPr>
        <w:t>Context</w:t>
      </w:r>
    </w:p>
    <w:p w:rsidR="002310D3" w:rsidRDefault="0012138D" w:rsidP="009415DC">
      <w:pPr>
        <w:ind w:right="-334"/>
        <w:rPr>
          <w:rFonts w:eastAsia="Times New Roman" w:cs="Arial"/>
          <w:color w:val="222222"/>
          <w:lang w:bidi="he-IL"/>
        </w:rPr>
      </w:pPr>
      <w:r>
        <w:t xml:space="preserve">Just within the last century, </w:t>
      </w:r>
      <w:r w:rsidR="002310D3">
        <w:t>women, people of</w:t>
      </w:r>
      <w:r w:rsidR="002310D3" w:rsidRPr="00943536">
        <w:t xml:space="preserve"> color</w:t>
      </w:r>
      <w:r>
        <w:t>,</w:t>
      </w:r>
      <w:r w:rsidR="002310D3">
        <w:t xml:space="preserve"> and </w:t>
      </w:r>
      <w:r>
        <w:t xml:space="preserve">enslaved people </w:t>
      </w:r>
      <w:r w:rsidR="002310D3">
        <w:t xml:space="preserve">were </w:t>
      </w:r>
      <w:r w:rsidR="008A19CE">
        <w:t xml:space="preserve">made </w:t>
      </w:r>
      <w:r w:rsidR="002310D3">
        <w:t xml:space="preserve">invisible before the law based on society’s perception of them as helpless, needy, irrational, or deviant. </w:t>
      </w:r>
      <w:r w:rsidR="00706E72">
        <w:t>While significant progress has been made in eliminating this invisibility for other groups,</w:t>
      </w:r>
      <w:r w:rsidR="00706E72" w:rsidDel="00706E72">
        <w:t xml:space="preserve"> </w:t>
      </w:r>
      <w:r w:rsidR="002310D3">
        <w:t>persons with disabilities</w:t>
      </w:r>
      <w:r>
        <w:t xml:space="preserve"> </w:t>
      </w:r>
      <w:r w:rsidR="00F54FFE">
        <w:t xml:space="preserve">the world over </w:t>
      </w:r>
      <w:r w:rsidR="006267CF">
        <w:t xml:space="preserve">continue to be subject to </w:t>
      </w:r>
      <w:r w:rsidR="0019741F">
        <w:t xml:space="preserve">marginalizing </w:t>
      </w:r>
      <w:r w:rsidR="006267CF">
        <w:t xml:space="preserve">laws and practices </w:t>
      </w:r>
      <w:r w:rsidR="0019741F">
        <w:t xml:space="preserve">that </w:t>
      </w:r>
      <w:r w:rsidR="001D1A6F">
        <w:t>deny legal personhood</w:t>
      </w:r>
      <w:r w:rsidR="0019741F">
        <w:t xml:space="preserve"> on the basis of disability. </w:t>
      </w:r>
      <w:r w:rsidR="002310D3">
        <w:t xml:space="preserve">The </w:t>
      </w:r>
      <w:r>
        <w:t>paternalistic</w:t>
      </w:r>
      <w:r w:rsidR="002310D3">
        <w:t xml:space="preserve"> impulse within societies leads to a misguided notion that removing people’s legal capacity is</w:t>
      </w:r>
      <w:r w:rsidR="001D1A6F">
        <w:t xml:space="preserve"> an</w:t>
      </w:r>
      <w:r w:rsidR="002310D3">
        <w:t xml:space="preserve"> inevitable</w:t>
      </w:r>
      <w:r w:rsidR="001D1A6F">
        <w:t xml:space="preserve"> necessity</w:t>
      </w:r>
      <w:r w:rsidR="00C43222">
        <w:t xml:space="preserve"> </w:t>
      </w:r>
      <w:r w:rsidR="002310D3">
        <w:t xml:space="preserve">in </w:t>
      </w:r>
      <w:r w:rsidR="00C43222">
        <w:t xml:space="preserve">order to protect </w:t>
      </w:r>
      <w:r w:rsidR="002310D3">
        <w:t xml:space="preserve">them from abuse or </w:t>
      </w:r>
      <w:r w:rsidR="00706E72">
        <w:t>‘</w:t>
      </w:r>
      <w:r w:rsidR="002310D3">
        <w:t>bad results</w:t>
      </w:r>
      <w:r w:rsidR="001D1A6F">
        <w:t xml:space="preserve">.’ </w:t>
      </w:r>
      <w:r w:rsidR="002310D3">
        <w:t xml:space="preserve">While </w:t>
      </w:r>
      <w:r w:rsidR="002310D3" w:rsidRPr="00DA3622">
        <w:rPr>
          <w:rFonts w:eastAsia="Times New Roman" w:cs="Arial"/>
          <w:color w:val="222222"/>
          <w:lang w:bidi="he-IL"/>
        </w:rPr>
        <w:t>some peo</w:t>
      </w:r>
      <w:r w:rsidR="002310D3">
        <w:rPr>
          <w:rFonts w:eastAsia="Times New Roman" w:cs="Arial"/>
          <w:color w:val="222222"/>
          <w:lang w:bidi="he-IL"/>
        </w:rPr>
        <w:t xml:space="preserve">ple with disabilities do </w:t>
      </w:r>
      <w:r w:rsidR="002310D3" w:rsidRPr="00DA3622">
        <w:rPr>
          <w:rFonts w:eastAsia="Times New Roman" w:cs="Arial"/>
          <w:color w:val="222222"/>
          <w:lang w:bidi="he-IL"/>
        </w:rPr>
        <w:t>need support in handling their own affairs</w:t>
      </w:r>
      <w:r w:rsidR="00EE1532">
        <w:rPr>
          <w:rFonts w:eastAsia="Times New Roman" w:cs="Arial"/>
          <w:color w:val="222222"/>
          <w:lang w:bidi="he-IL"/>
        </w:rPr>
        <w:t xml:space="preserve"> (as many of us do)</w:t>
      </w:r>
      <w:r w:rsidR="002310D3" w:rsidRPr="00DA3622">
        <w:rPr>
          <w:rFonts w:eastAsia="Times New Roman" w:cs="Arial"/>
          <w:color w:val="222222"/>
          <w:lang w:bidi="he-IL"/>
        </w:rPr>
        <w:t xml:space="preserve">, </w:t>
      </w:r>
      <w:r w:rsidR="002310D3">
        <w:rPr>
          <w:rFonts w:eastAsia="Times New Roman" w:cs="Arial"/>
          <w:color w:val="222222"/>
          <w:lang w:bidi="he-IL"/>
        </w:rPr>
        <w:t xml:space="preserve">the need for support </w:t>
      </w:r>
      <w:r w:rsidR="00EE1532">
        <w:rPr>
          <w:rFonts w:eastAsia="Times New Roman" w:cs="Arial"/>
          <w:color w:val="222222"/>
          <w:lang w:bidi="he-IL"/>
        </w:rPr>
        <w:t xml:space="preserve">when associated with disability </w:t>
      </w:r>
      <w:r w:rsidR="002310D3">
        <w:rPr>
          <w:rFonts w:eastAsia="Times New Roman" w:cs="Arial"/>
          <w:color w:val="222222"/>
          <w:lang w:bidi="he-IL"/>
        </w:rPr>
        <w:t xml:space="preserve">has traditionally served as a ground for denying legal capacity. </w:t>
      </w:r>
      <w:r w:rsidR="002310D3">
        <w:t>Legal systems present a serious impediment to change. So much of establishing and extinguishing legal relationships is conditional upon a capacity</w:t>
      </w:r>
      <w:r w:rsidR="002310D3" w:rsidRPr="00DA3622">
        <w:t xml:space="preserve"> test, and persons wi</w:t>
      </w:r>
      <w:r w:rsidR="00797058">
        <w:t xml:space="preserve">th disabilities, in particular </w:t>
      </w:r>
      <w:r w:rsidR="002310D3" w:rsidRPr="00DA3622">
        <w:t>those with intellectual or psychosocial disabilities, have been traditionally vie</w:t>
      </w:r>
      <w:r w:rsidR="002310D3">
        <w:t>wed as lacking capacity</w:t>
      </w:r>
      <w:r w:rsidR="002310D3" w:rsidRPr="00DA3622">
        <w:t xml:space="preserve"> in certain or all areas of life. </w:t>
      </w:r>
    </w:p>
    <w:p w:rsidR="002310D3" w:rsidRDefault="002310D3" w:rsidP="009415DC">
      <w:pPr>
        <w:ind w:right="-334"/>
      </w:pPr>
      <w:r>
        <w:t xml:space="preserve">The articulation of the right to equal recognition before the law in the CRPD, </w:t>
      </w:r>
      <w:r w:rsidR="00120D86">
        <w:t>which entered into force in</w:t>
      </w:r>
      <w:r>
        <w:t xml:space="preserve"> 2008, has been a game changer. Countering perceptions that assessments of incapacity can diminish this right, </w:t>
      </w:r>
      <w:r w:rsidR="00F54FFE">
        <w:t xml:space="preserve">CRPD </w:t>
      </w:r>
      <w:r>
        <w:t xml:space="preserve">Article 12 emphasizes not only the right of all </w:t>
      </w:r>
      <w:r w:rsidR="00E3012E">
        <w:t xml:space="preserve">persons </w:t>
      </w:r>
      <w:r>
        <w:t xml:space="preserve">to enjoy legal capacity and exercise it on an equal basis with others, but also the state’s duty to ensure access to support in doing so. </w:t>
      </w:r>
    </w:p>
    <w:p w:rsidR="0019741F" w:rsidRDefault="002310D3" w:rsidP="009415DC">
      <w:pPr>
        <w:ind w:right="-334"/>
        <w:rPr>
          <w:rFonts w:eastAsia="Times New Roman" w:cs="Arial"/>
          <w:color w:val="222222"/>
          <w:lang w:bidi="he-IL"/>
        </w:rPr>
      </w:pPr>
      <w:r w:rsidRPr="00840E99">
        <w:rPr>
          <w:rFonts w:eastAsia="Times New Roman" w:cs="Arial"/>
          <w:color w:val="222222"/>
          <w:lang w:bidi="he-IL"/>
        </w:rPr>
        <w:t xml:space="preserve">Recognizing </w:t>
      </w:r>
      <w:r>
        <w:rPr>
          <w:rFonts w:eastAsia="Times New Roman" w:cs="Arial"/>
          <w:color w:val="222222"/>
          <w:lang w:bidi="he-IL"/>
        </w:rPr>
        <w:t xml:space="preserve">this right </w:t>
      </w:r>
      <w:r w:rsidRPr="00840E99">
        <w:rPr>
          <w:rFonts w:eastAsia="Times New Roman" w:cs="Arial"/>
          <w:color w:val="222222"/>
          <w:lang w:bidi="he-IL"/>
        </w:rPr>
        <w:t>requires changing laws and policies</w:t>
      </w:r>
      <w:r w:rsidR="007E5117">
        <w:rPr>
          <w:rFonts w:eastAsia="Times New Roman" w:cs="Arial"/>
          <w:color w:val="222222"/>
          <w:lang w:bidi="he-IL"/>
        </w:rPr>
        <w:t>—</w:t>
      </w:r>
      <w:r>
        <w:rPr>
          <w:rFonts w:eastAsia="Times New Roman" w:cs="Arial"/>
          <w:color w:val="222222"/>
          <w:lang w:bidi="he-IL"/>
        </w:rPr>
        <w:t>in some countries hundreds of them</w:t>
      </w:r>
      <w:r w:rsidR="007E5117">
        <w:rPr>
          <w:rFonts w:eastAsia="Times New Roman" w:cs="Arial"/>
          <w:color w:val="222222"/>
          <w:lang w:bidi="he-IL"/>
        </w:rPr>
        <w:t>—</w:t>
      </w:r>
      <w:r>
        <w:rPr>
          <w:rFonts w:eastAsia="Times New Roman" w:cs="Arial"/>
          <w:color w:val="222222"/>
          <w:lang w:bidi="he-IL"/>
        </w:rPr>
        <w:t xml:space="preserve">which are based on the </w:t>
      </w:r>
      <w:r w:rsidRPr="00840E99">
        <w:rPr>
          <w:rFonts w:eastAsia="Times New Roman" w:cs="Arial"/>
          <w:color w:val="222222"/>
          <w:lang w:bidi="he-IL"/>
        </w:rPr>
        <w:t>old paradigm</w:t>
      </w:r>
      <w:r w:rsidR="007E5117">
        <w:rPr>
          <w:rFonts w:eastAsia="Times New Roman" w:cs="Arial"/>
          <w:color w:val="222222"/>
          <w:lang w:bidi="he-IL"/>
        </w:rPr>
        <w:t xml:space="preserve"> of substitution and ‘knowing what’s best’ for someone else</w:t>
      </w:r>
      <w:r>
        <w:rPr>
          <w:rFonts w:eastAsia="Times New Roman" w:cs="Arial"/>
          <w:color w:val="222222"/>
          <w:lang w:bidi="he-IL"/>
        </w:rPr>
        <w:t xml:space="preserve">. It requires </w:t>
      </w:r>
      <w:r w:rsidR="007E5117">
        <w:rPr>
          <w:rFonts w:eastAsia="Times New Roman" w:cs="Arial"/>
          <w:color w:val="222222"/>
          <w:lang w:bidi="he-IL"/>
        </w:rPr>
        <w:t>eliminating</w:t>
      </w:r>
      <w:r w:rsidRPr="00840E99">
        <w:rPr>
          <w:rFonts w:eastAsia="Times New Roman" w:cs="Arial"/>
          <w:color w:val="222222"/>
          <w:lang w:bidi="he-IL"/>
        </w:rPr>
        <w:t xml:space="preserve"> </w:t>
      </w:r>
      <w:r>
        <w:rPr>
          <w:rFonts w:eastAsia="Times New Roman" w:cs="Arial"/>
          <w:color w:val="222222"/>
          <w:lang w:bidi="he-IL"/>
        </w:rPr>
        <w:t>court-backed incapacitation mechanisms</w:t>
      </w:r>
      <w:r w:rsidR="007E5117">
        <w:rPr>
          <w:rFonts w:eastAsia="Times New Roman" w:cs="Arial"/>
          <w:color w:val="222222"/>
          <w:lang w:bidi="he-IL"/>
        </w:rPr>
        <w:t xml:space="preserve"> </w:t>
      </w:r>
      <w:r>
        <w:rPr>
          <w:rFonts w:eastAsia="Times New Roman" w:cs="Arial"/>
          <w:color w:val="222222"/>
          <w:lang w:bidi="he-IL"/>
        </w:rPr>
        <w:t xml:space="preserve">such as </w:t>
      </w:r>
      <w:r w:rsidRPr="000810A4">
        <w:rPr>
          <w:rFonts w:eastAsia="Times New Roman" w:cs="Arial"/>
          <w:color w:val="222222"/>
          <w:lang w:bidi="he-IL"/>
        </w:rPr>
        <w:t>guardianship</w:t>
      </w:r>
      <w:r w:rsidR="007E5117">
        <w:rPr>
          <w:rFonts w:eastAsia="Times New Roman" w:cs="Arial"/>
          <w:color w:val="222222"/>
          <w:lang w:bidi="he-IL"/>
        </w:rPr>
        <w:t xml:space="preserve"> and</w:t>
      </w:r>
      <w:r>
        <w:rPr>
          <w:rFonts w:eastAsia="Times New Roman" w:cs="Arial"/>
          <w:color w:val="222222"/>
          <w:lang w:bidi="he-IL"/>
        </w:rPr>
        <w:t xml:space="preserve"> limitations</w:t>
      </w:r>
      <w:r w:rsidR="007E5117">
        <w:rPr>
          <w:rFonts w:eastAsia="Times New Roman" w:cs="Arial"/>
          <w:color w:val="222222"/>
          <w:lang w:bidi="he-IL"/>
        </w:rPr>
        <w:t xml:space="preserve"> on capacity</w:t>
      </w:r>
      <w:r>
        <w:rPr>
          <w:rFonts w:eastAsia="Times New Roman" w:cs="Arial"/>
          <w:color w:val="222222"/>
          <w:lang w:bidi="he-IL"/>
        </w:rPr>
        <w:t xml:space="preserve"> embedded in a myriad of legal fields such as </w:t>
      </w:r>
      <w:r>
        <w:t>contracts, inheritance,</w:t>
      </w:r>
      <w:r w:rsidR="00F5166C">
        <w:t xml:space="preserve"> evidence, </w:t>
      </w:r>
      <w:r w:rsidR="00F5166C">
        <w:rPr>
          <w:rFonts w:eastAsia="Times New Roman" w:cs="Arial"/>
          <w:color w:val="222222"/>
          <w:lang w:bidi="he-IL"/>
        </w:rPr>
        <w:t>court procedures, personal status,</w:t>
      </w:r>
      <w:r w:rsidR="00F5166C">
        <w:t xml:space="preserve"> </w:t>
      </w:r>
      <w:r>
        <w:t xml:space="preserve">reproductive health, </w:t>
      </w:r>
      <w:r w:rsidR="007E5117">
        <w:t xml:space="preserve">and </w:t>
      </w:r>
      <w:r>
        <w:t>voting and political participation</w:t>
      </w:r>
      <w:r w:rsidR="007E5117">
        <w:t>.</w:t>
      </w:r>
      <w:r>
        <w:t xml:space="preserve"> </w:t>
      </w:r>
      <w:r w:rsidR="007E5117">
        <w:t>It also requires abolishing</w:t>
      </w:r>
      <w:r>
        <w:t xml:space="preserve"> </w:t>
      </w:r>
      <w:r w:rsidRPr="00840E99">
        <w:rPr>
          <w:rFonts w:eastAsia="Times New Roman" w:cs="Arial"/>
          <w:color w:val="222222"/>
          <w:lang w:bidi="he-IL"/>
        </w:rPr>
        <w:t>community and family practices</w:t>
      </w:r>
      <w:r>
        <w:rPr>
          <w:rFonts w:eastAsia="Times New Roman" w:cs="Arial"/>
          <w:color w:val="222222"/>
          <w:lang w:bidi="he-IL"/>
        </w:rPr>
        <w:t xml:space="preserve"> leading to </w:t>
      </w:r>
      <w:r w:rsidRPr="00840E99">
        <w:rPr>
          <w:rFonts w:eastAsia="Times New Roman" w:cs="Arial"/>
          <w:color w:val="222222"/>
          <w:lang w:bidi="he-IL"/>
        </w:rPr>
        <w:t>forced institutionalization, disinheritance, non-consen</w:t>
      </w:r>
      <w:r>
        <w:rPr>
          <w:rFonts w:eastAsia="Times New Roman" w:cs="Arial"/>
          <w:color w:val="222222"/>
          <w:lang w:bidi="he-IL"/>
        </w:rPr>
        <w:t>s</w:t>
      </w:r>
      <w:r w:rsidRPr="00840E99">
        <w:rPr>
          <w:rFonts w:eastAsia="Times New Roman" w:cs="Arial"/>
          <w:color w:val="222222"/>
          <w:lang w:bidi="he-IL"/>
        </w:rPr>
        <w:t>ual sterilization, denial of the opportunity to marry</w:t>
      </w:r>
      <w:r>
        <w:rPr>
          <w:rFonts w:eastAsia="Times New Roman" w:cs="Arial"/>
          <w:color w:val="222222"/>
          <w:lang w:bidi="he-IL"/>
        </w:rPr>
        <w:t>, and</w:t>
      </w:r>
      <w:r w:rsidR="007E5117">
        <w:rPr>
          <w:rFonts w:eastAsia="Times New Roman" w:cs="Arial"/>
          <w:color w:val="222222"/>
          <w:lang w:bidi="he-IL"/>
        </w:rPr>
        <w:t>,</w:t>
      </w:r>
      <w:r>
        <w:rPr>
          <w:rFonts w:eastAsia="Times New Roman" w:cs="Arial"/>
          <w:color w:val="222222"/>
          <w:lang w:bidi="he-IL"/>
        </w:rPr>
        <w:t xml:space="preserve"> in general</w:t>
      </w:r>
      <w:r w:rsidR="007E5117">
        <w:rPr>
          <w:rFonts w:eastAsia="Times New Roman" w:cs="Arial"/>
          <w:color w:val="222222"/>
          <w:lang w:bidi="he-IL"/>
        </w:rPr>
        <w:t>,</w:t>
      </w:r>
      <w:r>
        <w:rPr>
          <w:rFonts w:eastAsia="Times New Roman" w:cs="Arial"/>
          <w:color w:val="222222"/>
          <w:lang w:bidi="he-IL"/>
        </w:rPr>
        <w:t xml:space="preserve"> </w:t>
      </w:r>
      <w:r w:rsidRPr="00840E99">
        <w:rPr>
          <w:rFonts w:eastAsia="Times New Roman" w:cs="Arial"/>
          <w:color w:val="222222"/>
          <w:lang w:bidi="he-IL"/>
        </w:rPr>
        <w:t xml:space="preserve">control of </w:t>
      </w:r>
      <w:r>
        <w:rPr>
          <w:rFonts w:eastAsia="Times New Roman" w:cs="Arial"/>
          <w:color w:val="222222"/>
          <w:lang w:bidi="he-IL"/>
        </w:rPr>
        <w:t xml:space="preserve">individuals’ </w:t>
      </w:r>
      <w:r w:rsidRPr="00840E99">
        <w:rPr>
          <w:rFonts w:eastAsia="Times New Roman" w:cs="Arial"/>
          <w:color w:val="222222"/>
          <w:lang w:bidi="he-IL"/>
        </w:rPr>
        <w:t>big and small life decisions</w:t>
      </w:r>
      <w:r>
        <w:rPr>
          <w:rFonts w:eastAsia="Times New Roman" w:cs="Arial"/>
          <w:color w:val="222222"/>
          <w:lang w:bidi="he-IL"/>
        </w:rPr>
        <w:t xml:space="preserve">. </w:t>
      </w:r>
    </w:p>
    <w:p w:rsidR="008405CA" w:rsidRDefault="00041895" w:rsidP="009415DC">
      <w:pPr>
        <w:ind w:right="-334"/>
        <w:rPr>
          <w:rFonts w:eastAsia="Times New Roman" w:cs="Arial"/>
          <w:color w:val="222222"/>
          <w:lang w:bidi="he-IL"/>
        </w:rPr>
      </w:pPr>
      <w:r>
        <w:t>Yet h</w:t>
      </w:r>
      <w:r w:rsidR="002310D3">
        <w:t xml:space="preserve">ow to operationalize </w:t>
      </w:r>
      <w:r w:rsidR="001D1A6F">
        <w:t xml:space="preserve">CRPD Article 12 </w:t>
      </w:r>
      <w:r w:rsidR="007E5117">
        <w:t>while</w:t>
      </w:r>
      <w:r w:rsidR="002310D3">
        <w:t xml:space="preserve"> minimizing the risk of abuse and </w:t>
      </w:r>
      <w:r w:rsidR="002310D3">
        <w:rPr>
          <w:rFonts w:eastAsia="Times New Roman" w:cs="Arial"/>
          <w:color w:val="222222"/>
          <w:lang w:bidi="he-IL"/>
        </w:rPr>
        <w:t xml:space="preserve">protecting legitimate interests of third parties </w:t>
      </w:r>
      <w:r w:rsidR="00F54FFE">
        <w:rPr>
          <w:rFonts w:eastAsia="Times New Roman" w:cs="Arial"/>
          <w:color w:val="222222"/>
          <w:lang w:bidi="he-IL"/>
        </w:rPr>
        <w:t>is now the challenge</w:t>
      </w:r>
      <w:r w:rsidR="002310D3">
        <w:rPr>
          <w:rFonts w:eastAsia="Times New Roman" w:cs="Arial"/>
          <w:color w:val="222222"/>
          <w:lang w:bidi="he-IL"/>
        </w:rPr>
        <w:t xml:space="preserve">. </w:t>
      </w:r>
      <w:r w:rsidR="008405CA">
        <w:rPr>
          <w:rFonts w:eastAsia="Times New Roman" w:cs="Arial"/>
          <w:color w:val="222222"/>
          <w:lang w:bidi="he-IL"/>
        </w:rPr>
        <w:t xml:space="preserve">The stakes are high. </w:t>
      </w:r>
      <w:r w:rsidR="00E55D40">
        <w:t xml:space="preserve">Persons </w:t>
      </w:r>
      <w:r w:rsidR="008405CA">
        <w:t>with disabilities have long been disempowered to make their own choices, let alone demand systemic change. Families lacking support, f</w:t>
      </w:r>
      <w:r w:rsidR="00E55D40">
        <w:t xml:space="preserve">earing for their family member </w:t>
      </w:r>
      <w:r w:rsidR="008405CA">
        <w:t xml:space="preserve">and not knowing of alternatives, have traditionally preferred over-protection. </w:t>
      </w:r>
      <w:r>
        <w:t>I</w:t>
      </w:r>
      <w:r w:rsidR="006514F3">
        <w:t xml:space="preserve">nfluential </w:t>
      </w:r>
      <w:r w:rsidR="008405CA">
        <w:t>c</w:t>
      </w:r>
      <w:r w:rsidR="008405CA" w:rsidRPr="007741D1">
        <w:t xml:space="preserve">onstituencies </w:t>
      </w:r>
      <w:r w:rsidR="006514F3">
        <w:t xml:space="preserve">invested in how </w:t>
      </w:r>
      <w:r w:rsidR="008405CA">
        <w:t>lega</w:t>
      </w:r>
      <w:r w:rsidR="006514F3">
        <w:t>l capacity is currently managed—</w:t>
      </w:r>
      <w:r w:rsidR="008405CA">
        <w:t>from the medical, service pro</w:t>
      </w:r>
      <w:r w:rsidR="006514F3">
        <w:t>vision, and legal perspectives—</w:t>
      </w:r>
      <w:r w:rsidR="008405CA">
        <w:t>commonly resist change</w:t>
      </w:r>
      <w:r w:rsidR="001D1A6F">
        <w:t xml:space="preserve">. Psychiatrists’ </w:t>
      </w:r>
      <w:r w:rsidR="008405CA">
        <w:t>associations</w:t>
      </w:r>
      <w:r w:rsidR="001D1A6F">
        <w:t>, for example,</w:t>
      </w:r>
      <w:r>
        <w:t xml:space="preserve"> </w:t>
      </w:r>
      <w:r w:rsidR="00E17162">
        <w:t>whose practice is</w:t>
      </w:r>
      <w:r w:rsidR="001D1A6F">
        <w:t xml:space="preserve"> too often</w:t>
      </w:r>
      <w:r w:rsidR="00E17162">
        <w:t xml:space="preserve"> premised</w:t>
      </w:r>
      <w:r w:rsidR="006514F3">
        <w:t xml:space="preserve"> </w:t>
      </w:r>
      <w:r w:rsidR="00E17162">
        <w:t xml:space="preserve">on </w:t>
      </w:r>
      <w:r w:rsidR="00604C5D">
        <w:t xml:space="preserve">the </w:t>
      </w:r>
      <w:r>
        <w:t xml:space="preserve">possibility </w:t>
      </w:r>
      <w:r w:rsidR="00706E72">
        <w:t>of</w:t>
      </w:r>
      <w:r>
        <w:t xml:space="preserve"> resort</w:t>
      </w:r>
      <w:r w:rsidR="00706E72">
        <w:t>ing</w:t>
      </w:r>
      <w:r>
        <w:t xml:space="preserve"> to </w:t>
      </w:r>
      <w:r w:rsidR="00F5166C">
        <w:t>forced treatment or confinement</w:t>
      </w:r>
      <w:r w:rsidR="00E17162">
        <w:t xml:space="preserve"> </w:t>
      </w:r>
      <w:r w:rsidR="00E55D40">
        <w:t>based on</w:t>
      </w:r>
      <w:r w:rsidR="008A19CE">
        <w:t xml:space="preserve"> the combination of a diagnosis and an assessment of incapacity and dangerousness</w:t>
      </w:r>
      <w:r w:rsidR="001D1A6F">
        <w:t>, frequently see changes to the status quo as threatening their ability to</w:t>
      </w:r>
      <w:r w:rsidR="00706E72">
        <w:t>, in their view,</w:t>
      </w:r>
      <w:r w:rsidR="001D1A6F">
        <w:t xml:space="preserve"> protect patients from harm. </w:t>
      </w:r>
      <w:r w:rsidR="00706E72">
        <w:t>Providers of</w:t>
      </w:r>
      <w:r w:rsidR="008405CA">
        <w:t xml:space="preserve"> guardianship services</w:t>
      </w:r>
      <w:r w:rsidR="00E17162">
        <w:t xml:space="preserve">, whose </w:t>
      </w:r>
      <w:r>
        <w:t>service provision model assumes</w:t>
      </w:r>
      <w:r w:rsidR="00E17162">
        <w:t xml:space="preserve"> an eventuality of substituting a person’s decision-making with that of another</w:t>
      </w:r>
      <w:r w:rsidR="001D1A6F">
        <w:t xml:space="preserve">, </w:t>
      </w:r>
      <w:r w:rsidR="007460AF">
        <w:t>are dependent upon legal systems that diminish capacity in favor of substitute</w:t>
      </w:r>
      <w:r w:rsidR="00706E72">
        <w:t xml:space="preserve"> </w:t>
      </w:r>
      <w:r w:rsidR="007460AF">
        <w:t>decision</w:t>
      </w:r>
      <w:r w:rsidR="00706E72">
        <w:t>-</w:t>
      </w:r>
      <w:r w:rsidR="007460AF">
        <w:t>making</w:t>
      </w:r>
      <w:r w:rsidR="009415DC">
        <w:t>,</w:t>
      </w:r>
      <w:r w:rsidR="007460AF">
        <w:t xml:space="preserve"> over providing supports. </w:t>
      </w:r>
      <w:r w:rsidR="001F4CA2">
        <w:t>Likewise,</w:t>
      </w:r>
      <w:r w:rsidR="00E17162">
        <w:t xml:space="preserve"> judges and bar associations</w:t>
      </w:r>
      <w:r w:rsidR="007460AF">
        <w:t>,</w:t>
      </w:r>
      <w:r w:rsidR="00E17162">
        <w:t xml:space="preserve"> working within the confines of </w:t>
      </w:r>
      <w:r w:rsidR="00FB1E42">
        <w:t>limiting laws</w:t>
      </w:r>
      <w:r w:rsidR="007460AF">
        <w:t xml:space="preserve">, may be </w:t>
      </w:r>
      <w:r w:rsidR="001F4CA2">
        <w:t>un</w:t>
      </w:r>
      <w:r w:rsidR="007460AF">
        <w:t xml:space="preserve">able to imagine an alternative that upholds capacity </w:t>
      </w:r>
      <w:r w:rsidR="009D538A">
        <w:t>by providing</w:t>
      </w:r>
      <w:r w:rsidR="007460AF">
        <w:t xml:space="preserve"> supports</w:t>
      </w:r>
      <w:r w:rsidR="00FB1E42">
        <w:t xml:space="preserve">. </w:t>
      </w:r>
    </w:p>
    <w:p w:rsidR="002310D3" w:rsidRDefault="002310D3" w:rsidP="009415DC">
      <w:pPr>
        <w:ind w:right="-334"/>
        <w:rPr>
          <w:rFonts w:eastAsia="Times New Roman" w:cs="Arial"/>
          <w:color w:val="222222"/>
          <w:lang w:bidi="he-IL"/>
        </w:rPr>
      </w:pPr>
      <w:r w:rsidRPr="00A66A18">
        <w:rPr>
          <w:rFonts w:eastAsia="Times New Roman" w:cs="Arial"/>
          <w:color w:val="222222"/>
          <w:lang w:bidi="he-IL"/>
        </w:rPr>
        <w:t xml:space="preserve">The journey </w:t>
      </w:r>
      <w:r w:rsidR="002C549F">
        <w:rPr>
          <w:rFonts w:eastAsia="Times New Roman" w:cs="Arial"/>
          <w:color w:val="222222"/>
          <w:lang w:bidi="he-IL"/>
        </w:rPr>
        <w:t xml:space="preserve">is </w:t>
      </w:r>
      <w:r w:rsidRPr="00A66A18">
        <w:rPr>
          <w:rFonts w:eastAsia="Times New Roman" w:cs="Arial"/>
          <w:color w:val="222222"/>
          <w:lang w:bidi="he-IL"/>
        </w:rPr>
        <w:t>further complicated by differences within the disability movement itself about what this right means. While international advocacy organizations representing persons with inte</w:t>
      </w:r>
      <w:r>
        <w:rPr>
          <w:rFonts w:eastAsia="Times New Roman" w:cs="Arial"/>
          <w:color w:val="222222"/>
          <w:lang w:bidi="he-IL"/>
        </w:rPr>
        <w:t>llectual disabilities emphasize</w:t>
      </w:r>
      <w:r w:rsidRPr="00A66A18">
        <w:rPr>
          <w:rFonts w:eastAsia="Times New Roman" w:cs="Arial"/>
          <w:color w:val="222222"/>
          <w:lang w:bidi="he-IL"/>
        </w:rPr>
        <w:t xml:space="preserve"> </w:t>
      </w:r>
      <w:r>
        <w:rPr>
          <w:rFonts w:eastAsia="Times New Roman" w:cs="Arial"/>
          <w:color w:val="222222"/>
          <w:lang w:bidi="he-IL"/>
        </w:rPr>
        <w:t>the provision and legal recognition of support in decision-making</w:t>
      </w:r>
      <w:r w:rsidRPr="00A66A18">
        <w:rPr>
          <w:rFonts w:eastAsia="Times New Roman" w:cs="Arial"/>
          <w:color w:val="222222"/>
          <w:lang w:bidi="he-IL"/>
        </w:rPr>
        <w:t>, those representing persons with psyc</w:t>
      </w:r>
      <w:r>
        <w:rPr>
          <w:rFonts w:eastAsia="Times New Roman" w:cs="Arial"/>
          <w:color w:val="222222"/>
          <w:lang w:bidi="he-IL"/>
        </w:rPr>
        <w:t xml:space="preserve">hosocial </w:t>
      </w:r>
      <w:r>
        <w:rPr>
          <w:rFonts w:eastAsia="Times New Roman" w:cs="Arial"/>
          <w:color w:val="222222"/>
          <w:lang w:bidi="he-IL"/>
        </w:rPr>
        <w:lastRenderedPageBreak/>
        <w:t>disabilities emphasize autonomy and point</w:t>
      </w:r>
      <w:r w:rsidRPr="00A66A18">
        <w:rPr>
          <w:rFonts w:eastAsia="Times New Roman" w:cs="Arial"/>
          <w:color w:val="222222"/>
          <w:lang w:bidi="he-IL"/>
        </w:rPr>
        <w:t xml:space="preserve"> at </w:t>
      </w:r>
      <w:r>
        <w:rPr>
          <w:rFonts w:eastAsia="Times New Roman" w:cs="Arial"/>
          <w:color w:val="222222"/>
          <w:lang w:bidi="he-IL"/>
        </w:rPr>
        <w:t xml:space="preserve">the risk of </w:t>
      </w:r>
      <w:r w:rsidRPr="00A66A18">
        <w:rPr>
          <w:rFonts w:eastAsia="Times New Roman" w:cs="Arial"/>
          <w:color w:val="222222"/>
          <w:lang w:bidi="he-IL"/>
        </w:rPr>
        <w:t>decision-making support paving the way to intervention</w:t>
      </w:r>
      <w:r>
        <w:rPr>
          <w:rFonts w:eastAsia="Times New Roman" w:cs="Arial"/>
          <w:color w:val="222222"/>
          <w:lang w:bidi="he-IL"/>
        </w:rPr>
        <w:t xml:space="preserve"> in one’s autonomy</w:t>
      </w:r>
      <w:r w:rsidRPr="00A66A18">
        <w:rPr>
          <w:rFonts w:eastAsia="Times New Roman" w:cs="Arial"/>
          <w:color w:val="222222"/>
          <w:lang w:bidi="he-IL"/>
        </w:rPr>
        <w:t xml:space="preserve">. </w:t>
      </w:r>
      <w:r w:rsidR="00FE40D8" w:rsidRPr="00A66A18">
        <w:rPr>
          <w:rFonts w:eastAsia="Times New Roman" w:cs="Arial"/>
          <w:color w:val="222222"/>
          <w:lang w:bidi="he-IL"/>
        </w:rPr>
        <w:t>A</w:t>
      </w:r>
      <w:r w:rsidR="00FE40D8">
        <w:rPr>
          <w:rFonts w:eastAsia="Times New Roman" w:cs="Arial"/>
          <w:color w:val="222222"/>
          <w:lang w:bidi="he-IL"/>
        </w:rPr>
        <w:t>s</w:t>
      </w:r>
      <w:r w:rsidR="00FE40D8" w:rsidRPr="00A66A18">
        <w:rPr>
          <w:rFonts w:eastAsia="Times New Roman" w:cs="Arial"/>
          <w:color w:val="222222"/>
          <w:lang w:bidi="he-IL"/>
        </w:rPr>
        <w:t xml:space="preserve"> </w:t>
      </w:r>
      <w:r w:rsidRPr="00A66A18">
        <w:rPr>
          <w:rFonts w:eastAsia="Times New Roman" w:cs="Arial"/>
          <w:color w:val="222222"/>
          <w:lang w:bidi="he-IL"/>
        </w:rPr>
        <w:t>roundtables we convened in 201</w:t>
      </w:r>
      <w:r w:rsidR="002C549F">
        <w:rPr>
          <w:rFonts w:eastAsia="Times New Roman" w:cs="Arial"/>
          <w:color w:val="222222"/>
          <w:lang w:bidi="he-IL"/>
        </w:rPr>
        <w:t>0 and 201</w:t>
      </w:r>
      <w:r w:rsidRPr="00A66A18">
        <w:rPr>
          <w:rFonts w:eastAsia="Times New Roman" w:cs="Arial"/>
          <w:color w:val="222222"/>
          <w:lang w:bidi="he-IL"/>
        </w:rPr>
        <w:t xml:space="preserve">1 among </w:t>
      </w:r>
      <w:r w:rsidR="00FE40D8">
        <w:rPr>
          <w:rFonts w:eastAsia="Times New Roman" w:cs="Arial"/>
          <w:color w:val="222222"/>
          <w:lang w:bidi="he-IL"/>
        </w:rPr>
        <w:t>movement</w:t>
      </w:r>
      <w:r w:rsidR="00FE40D8" w:rsidRPr="00A66A18">
        <w:rPr>
          <w:rFonts w:eastAsia="Times New Roman" w:cs="Arial"/>
          <w:color w:val="222222"/>
          <w:lang w:bidi="he-IL"/>
        </w:rPr>
        <w:t xml:space="preserve"> </w:t>
      </w:r>
      <w:r w:rsidRPr="00A66A18">
        <w:rPr>
          <w:rFonts w:eastAsia="Times New Roman" w:cs="Arial"/>
          <w:color w:val="222222"/>
          <w:lang w:bidi="he-IL"/>
        </w:rPr>
        <w:t xml:space="preserve">leaders </w:t>
      </w:r>
      <w:r w:rsidR="002C549F">
        <w:rPr>
          <w:rFonts w:eastAsia="Times New Roman" w:cs="Arial"/>
          <w:color w:val="222222"/>
          <w:lang w:bidi="he-IL"/>
        </w:rPr>
        <w:t xml:space="preserve">about the theoretical underpinnings of Article 12 </w:t>
      </w:r>
      <w:r w:rsidRPr="00A66A18">
        <w:rPr>
          <w:rFonts w:eastAsia="Times New Roman" w:cs="Arial"/>
          <w:color w:val="222222"/>
          <w:lang w:bidi="he-IL"/>
        </w:rPr>
        <w:t xml:space="preserve">did not yield a breakthrough, we </w:t>
      </w:r>
      <w:r w:rsidR="001655D3">
        <w:rPr>
          <w:rFonts w:eastAsia="Times New Roman" w:cs="Arial"/>
          <w:color w:val="222222"/>
          <w:lang w:bidi="he-IL"/>
        </w:rPr>
        <w:t xml:space="preserve">understood that we </w:t>
      </w:r>
      <w:r w:rsidR="00FE40D8">
        <w:rPr>
          <w:rFonts w:eastAsia="Times New Roman" w:cs="Arial"/>
          <w:color w:val="222222"/>
          <w:lang w:bidi="he-IL"/>
        </w:rPr>
        <w:t xml:space="preserve">could more constructively navigate </w:t>
      </w:r>
      <w:r w:rsidRPr="00A66A18">
        <w:rPr>
          <w:rFonts w:eastAsia="Times New Roman" w:cs="Arial"/>
          <w:color w:val="222222"/>
          <w:lang w:bidi="he-IL"/>
        </w:rPr>
        <w:t xml:space="preserve">these differences </w:t>
      </w:r>
      <w:r w:rsidR="001655D3">
        <w:rPr>
          <w:rFonts w:eastAsia="Times New Roman" w:cs="Arial"/>
          <w:color w:val="222222"/>
          <w:lang w:bidi="he-IL"/>
        </w:rPr>
        <w:t xml:space="preserve">only </w:t>
      </w:r>
      <w:r w:rsidR="00FE40D8">
        <w:rPr>
          <w:rFonts w:eastAsia="Times New Roman" w:cs="Arial"/>
          <w:color w:val="222222"/>
          <w:lang w:bidi="he-IL"/>
        </w:rPr>
        <w:t>through practice</w:t>
      </w:r>
      <w:r>
        <w:rPr>
          <w:rFonts w:eastAsia="Times New Roman" w:cs="Arial"/>
          <w:color w:val="222222"/>
          <w:lang w:bidi="he-IL"/>
        </w:rPr>
        <w:t>, and thus shifted</w:t>
      </w:r>
      <w:r w:rsidR="00FE40D8">
        <w:rPr>
          <w:rFonts w:eastAsia="Times New Roman" w:cs="Arial"/>
          <w:color w:val="222222"/>
          <w:lang w:bidi="he-IL"/>
        </w:rPr>
        <w:t xml:space="preserve"> our focus</w:t>
      </w:r>
      <w:r>
        <w:rPr>
          <w:rFonts w:eastAsia="Times New Roman" w:cs="Arial"/>
          <w:color w:val="222222"/>
          <w:lang w:bidi="he-IL"/>
        </w:rPr>
        <w:t xml:space="preserve"> to </w:t>
      </w:r>
      <w:r w:rsidR="00FE40D8">
        <w:rPr>
          <w:rFonts w:eastAsia="Times New Roman" w:cs="Arial"/>
          <w:color w:val="222222"/>
          <w:lang w:bidi="he-IL"/>
        </w:rPr>
        <w:t>supporting the</w:t>
      </w:r>
      <w:r>
        <w:rPr>
          <w:rFonts w:eastAsia="Times New Roman" w:cs="Arial"/>
          <w:color w:val="222222"/>
          <w:lang w:bidi="he-IL"/>
        </w:rPr>
        <w:t xml:space="preserve"> </w:t>
      </w:r>
      <w:r w:rsidR="00FE40D8">
        <w:rPr>
          <w:rFonts w:eastAsia="Times New Roman" w:cs="Arial"/>
          <w:color w:val="222222"/>
          <w:lang w:bidi="he-IL"/>
        </w:rPr>
        <w:t>operationalization</w:t>
      </w:r>
      <w:r w:rsidR="00531544">
        <w:rPr>
          <w:rFonts w:eastAsia="Times New Roman" w:cs="Arial"/>
          <w:color w:val="222222"/>
          <w:lang w:bidi="he-IL"/>
        </w:rPr>
        <w:t xml:space="preserve"> </w:t>
      </w:r>
      <w:r w:rsidR="00FB1E42">
        <w:rPr>
          <w:rFonts w:eastAsia="Times New Roman" w:cs="Arial"/>
          <w:color w:val="222222"/>
          <w:lang w:bidi="he-IL"/>
        </w:rPr>
        <w:t xml:space="preserve">of </w:t>
      </w:r>
      <w:r w:rsidR="00FE40D8">
        <w:rPr>
          <w:rFonts w:eastAsia="Times New Roman" w:cs="Arial"/>
          <w:color w:val="222222"/>
          <w:lang w:bidi="he-IL"/>
        </w:rPr>
        <w:t>the right to</w:t>
      </w:r>
      <w:r>
        <w:rPr>
          <w:rFonts w:eastAsia="Times New Roman" w:cs="Arial"/>
          <w:color w:val="222222"/>
          <w:lang w:bidi="he-IL"/>
        </w:rPr>
        <w:t xml:space="preserve"> exercise legal capacity. </w:t>
      </w:r>
    </w:p>
    <w:p w:rsidR="002310D3" w:rsidRPr="00797058" w:rsidRDefault="002310D3" w:rsidP="009415DC">
      <w:pPr>
        <w:keepNext/>
        <w:keepLines/>
        <w:shd w:val="clear" w:color="auto" w:fill="FFFFFF"/>
        <w:ind w:right="-334"/>
        <w:rPr>
          <w:rFonts w:eastAsia="Times New Roman" w:cs="Arial"/>
          <w:b/>
          <w:bCs/>
          <w:color w:val="222222"/>
          <w:u w:val="single"/>
          <w:lang w:bidi="he-IL"/>
        </w:rPr>
      </w:pPr>
      <w:r w:rsidRPr="00797058">
        <w:rPr>
          <w:rFonts w:eastAsia="Times New Roman" w:cs="Arial"/>
          <w:b/>
          <w:bCs/>
          <w:color w:val="222222"/>
          <w:u w:val="single"/>
          <w:lang w:bidi="he-IL"/>
        </w:rPr>
        <w:t>Our approach</w:t>
      </w:r>
    </w:p>
    <w:p w:rsidR="002310D3" w:rsidRDefault="002310D3" w:rsidP="009415DC">
      <w:pPr>
        <w:keepNext/>
        <w:keepLines/>
        <w:shd w:val="clear" w:color="auto" w:fill="FFFFFF"/>
        <w:ind w:right="-334"/>
        <w:rPr>
          <w:rFonts w:eastAsia="Times New Roman" w:cs="Arial"/>
          <w:color w:val="222222"/>
          <w:lang w:bidi="he-IL"/>
        </w:rPr>
      </w:pPr>
      <w:r>
        <w:rPr>
          <w:rFonts w:eastAsia="Times New Roman" w:cs="Arial"/>
          <w:color w:val="222222"/>
          <w:lang w:bidi="he-IL"/>
        </w:rPr>
        <w:t>How the denial of legal capacity looks varies significantly among countries and regions. In Bulgaria (and other countries where the response to persons with disabilities’ support needs</w:t>
      </w:r>
      <w:r w:rsidR="006E63F2">
        <w:rPr>
          <w:rFonts w:eastAsia="Times New Roman" w:cs="Arial"/>
          <w:color w:val="222222"/>
          <w:lang w:bidi="he-IL"/>
        </w:rPr>
        <w:t xml:space="preserve"> is laden with formal procedures usually ending in segregation</w:t>
      </w:r>
      <w:r>
        <w:rPr>
          <w:rFonts w:eastAsia="Times New Roman" w:cs="Arial"/>
          <w:color w:val="222222"/>
          <w:lang w:bidi="he-IL"/>
        </w:rPr>
        <w:t>)</w:t>
      </w:r>
      <w:r w:rsidR="00680777">
        <w:rPr>
          <w:rFonts w:eastAsia="Times New Roman" w:cs="Arial"/>
          <w:color w:val="222222"/>
          <w:lang w:bidi="he-IL"/>
        </w:rPr>
        <w:t>,</w:t>
      </w:r>
      <w:r>
        <w:rPr>
          <w:rFonts w:eastAsia="Times New Roman" w:cs="Arial"/>
          <w:color w:val="222222"/>
          <w:lang w:bidi="he-IL"/>
        </w:rPr>
        <w:t xml:space="preserve"> it occurs overwhelmingly through court </w:t>
      </w:r>
      <w:r w:rsidR="00EE2593">
        <w:rPr>
          <w:rFonts w:eastAsia="Times New Roman" w:cs="Arial"/>
          <w:color w:val="222222"/>
          <w:lang w:bidi="he-IL"/>
        </w:rPr>
        <w:t xml:space="preserve">proceedings in which </w:t>
      </w:r>
      <w:r>
        <w:rPr>
          <w:rFonts w:eastAsia="Times New Roman" w:cs="Arial"/>
          <w:color w:val="222222"/>
          <w:lang w:bidi="he-IL"/>
        </w:rPr>
        <w:t>individuals with disabilities</w:t>
      </w:r>
      <w:r w:rsidR="00EE2593">
        <w:rPr>
          <w:rFonts w:eastAsia="Times New Roman" w:cs="Arial"/>
          <w:color w:val="222222"/>
          <w:lang w:bidi="he-IL"/>
        </w:rPr>
        <w:t xml:space="preserve"> are deemed incapable</w:t>
      </w:r>
      <w:r>
        <w:rPr>
          <w:rFonts w:eastAsia="Times New Roman" w:cs="Arial"/>
          <w:color w:val="222222"/>
          <w:lang w:bidi="he-IL"/>
        </w:rPr>
        <w:t xml:space="preserve"> </w:t>
      </w:r>
      <w:r w:rsidR="00EE2593">
        <w:rPr>
          <w:rFonts w:eastAsia="Times New Roman" w:cs="Arial"/>
          <w:color w:val="222222"/>
          <w:lang w:bidi="he-IL"/>
        </w:rPr>
        <w:t xml:space="preserve">of </w:t>
      </w:r>
      <w:r>
        <w:rPr>
          <w:rFonts w:eastAsia="Times New Roman" w:cs="Arial"/>
          <w:color w:val="222222"/>
          <w:lang w:bidi="he-IL"/>
        </w:rPr>
        <w:t>taking actions with legal implications</w:t>
      </w:r>
      <w:r w:rsidR="008A19CE">
        <w:rPr>
          <w:rFonts w:eastAsia="Times New Roman" w:cs="Arial"/>
          <w:color w:val="222222"/>
          <w:lang w:bidi="he-IL"/>
        </w:rPr>
        <w:t xml:space="preserve"> and a guardian is appointed</w:t>
      </w:r>
      <w:r>
        <w:rPr>
          <w:rFonts w:eastAsia="Times New Roman" w:cs="Arial"/>
          <w:color w:val="222222"/>
          <w:lang w:bidi="he-IL"/>
        </w:rPr>
        <w:t>. In Zambia (and other countries where lack of support services result</w:t>
      </w:r>
      <w:r w:rsidR="005523C4">
        <w:rPr>
          <w:rFonts w:eastAsia="Times New Roman" w:cs="Arial"/>
          <w:color w:val="222222"/>
          <w:lang w:bidi="he-IL"/>
        </w:rPr>
        <w:t>s</w:t>
      </w:r>
      <w:r>
        <w:rPr>
          <w:rFonts w:eastAsia="Times New Roman" w:cs="Arial"/>
          <w:color w:val="222222"/>
          <w:lang w:bidi="he-IL"/>
        </w:rPr>
        <w:t xml:space="preserve"> in marginalization within communities), courts are rarely invoked for an incapacity declaration. Rather, </w:t>
      </w:r>
      <w:r w:rsidRPr="00C43EB3">
        <w:rPr>
          <w:rFonts w:eastAsia="Times New Roman" w:cs="Arial"/>
          <w:color w:val="222222"/>
          <w:lang w:bidi="he-IL"/>
        </w:rPr>
        <w:t>restrictions</w:t>
      </w:r>
      <w:r>
        <w:rPr>
          <w:rFonts w:eastAsia="Times New Roman" w:cs="Arial"/>
          <w:i/>
          <w:iCs/>
          <w:color w:val="222222"/>
          <w:lang w:bidi="he-IL"/>
        </w:rPr>
        <w:t xml:space="preserve"> </w:t>
      </w:r>
      <w:r w:rsidRPr="00E75FE6">
        <w:rPr>
          <w:rFonts w:eastAsia="Times New Roman" w:cs="Arial"/>
          <w:color w:val="222222"/>
          <w:lang w:bidi="he-IL"/>
        </w:rPr>
        <w:t>are</w:t>
      </w:r>
      <w:r>
        <w:rPr>
          <w:rFonts w:eastAsia="Times New Roman" w:cs="Arial"/>
          <w:i/>
          <w:iCs/>
          <w:color w:val="222222"/>
          <w:lang w:bidi="he-IL"/>
        </w:rPr>
        <w:t xml:space="preserve"> </w:t>
      </w:r>
      <w:r>
        <w:rPr>
          <w:rFonts w:eastAsia="Times New Roman" w:cs="Arial"/>
          <w:color w:val="222222"/>
          <w:lang w:bidi="he-IL"/>
        </w:rPr>
        <w:t xml:space="preserve">enacted by families and communities largely undetected by the legal system: individuals with disabilities may be overlooked in family inheritance, </w:t>
      </w:r>
      <w:r w:rsidR="001D614F">
        <w:rPr>
          <w:rFonts w:eastAsia="Times New Roman" w:cs="Arial"/>
          <w:color w:val="222222"/>
          <w:lang w:bidi="he-IL"/>
        </w:rPr>
        <w:t xml:space="preserve">treated as “unmarriageable,” and </w:t>
      </w:r>
      <w:r>
        <w:rPr>
          <w:rFonts w:eastAsia="Times New Roman" w:cs="Arial"/>
          <w:color w:val="222222"/>
          <w:lang w:bidi="he-IL"/>
        </w:rPr>
        <w:t xml:space="preserve">seen to </w:t>
      </w:r>
      <w:r w:rsidR="001D614F">
        <w:rPr>
          <w:rFonts w:eastAsia="Times New Roman" w:cs="Arial"/>
          <w:color w:val="222222"/>
          <w:lang w:bidi="he-IL"/>
        </w:rPr>
        <w:t>“</w:t>
      </w:r>
      <w:r>
        <w:rPr>
          <w:rFonts w:eastAsia="Times New Roman" w:cs="Arial"/>
          <w:color w:val="222222"/>
          <w:lang w:bidi="he-IL"/>
        </w:rPr>
        <w:t>consent</w:t>
      </w:r>
      <w:r w:rsidR="001D614F">
        <w:rPr>
          <w:rFonts w:eastAsia="Times New Roman" w:cs="Arial"/>
          <w:color w:val="222222"/>
          <w:lang w:bidi="he-IL"/>
        </w:rPr>
        <w:t>”</w:t>
      </w:r>
      <w:r>
        <w:rPr>
          <w:rFonts w:eastAsia="Times New Roman" w:cs="Arial"/>
          <w:color w:val="222222"/>
          <w:lang w:bidi="he-IL"/>
        </w:rPr>
        <w:t xml:space="preserve"> to psychiatric </w:t>
      </w:r>
      <w:r w:rsidR="001D614F">
        <w:rPr>
          <w:rFonts w:eastAsia="Times New Roman" w:cs="Arial"/>
          <w:color w:val="222222"/>
          <w:lang w:bidi="he-IL"/>
        </w:rPr>
        <w:t xml:space="preserve">confinement </w:t>
      </w:r>
      <w:r>
        <w:rPr>
          <w:rFonts w:eastAsia="Times New Roman" w:cs="Arial"/>
          <w:color w:val="222222"/>
          <w:lang w:bidi="he-IL"/>
        </w:rPr>
        <w:t xml:space="preserve">against their will as long as a family member requested </w:t>
      </w:r>
      <w:r w:rsidR="001D614F">
        <w:rPr>
          <w:rFonts w:eastAsia="Times New Roman" w:cs="Arial"/>
          <w:color w:val="222222"/>
          <w:lang w:bidi="he-IL"/>
        </w:rPr>
        <w:t xml:space="preserve">it. </w:t>
      </w:r>
    </w:p>
    <w:p w:rsidR="002310D3" w:rsidRDefault="002310D3" w:rsidP="005523C4">
      <w:pPr>
        <w:shd w:val="clear" w:color="auto" w:fill="FFFFFF"/>
        <w:ind w:right="-334"/>
        <w:rPr>
          <w:rFonts w:eastAsia="Times New Roman" w:cs="Arial"/>
          <w:color w:val="222222"/>
          <w:lang w:bidi="he-IL"/>
        </w:rPr>
      </w:pPr>
      <w:r>
        <w:rPr>
          <w:rFonts w:eastAsia="Times New Roman" w:cs="Arial"/>
          <w:color w:val="222222"/>
          <w:lang w:bidi="he-IL"/>
        </w:rPr>
        <w:t>Our portfolio endeavors to operationalize the exercise of legal capacity by all, in multiple geographies, representing varying ways in which legal capacity is compromised. We do this through</w:t>
      </w:r>
      <w:r w:rsidR="00CF3D13">
        <w:rPr>
          <w:rFonts w:eastAsia="Times New Roman" w:cs="Arial"/>
          <w:color w:val="222222"/>
          <w:lang w:bidi="he-IL"/>
        </w:rPr>
        <w:t xml:space="preserve"> grant</w:t>
      </w:r>
      <w:r w:rsidR="007460AF">
        <w:rPr>
          <w:rFonts w:eastAsia="Times New Roman" w:cs="Arial"/>
          <w:color w:val="222222"/>
          <w:lang w:bidi="he-IL"/>
        </w:rPr>
        <w:t xml:space="preserve"> </w:t>
      </w:r>
      <w:r w:rsidR="00CF3D13">
        <w:rPr>
          <w:rFonts w:eastAsia="Times New Roman" w:cs="Arial"/>
          <w:color w:val="222222"/>
          <w:lang w:bidi="he-IL"/>
        </w:rPr>
        <w:t xml:space="preserve">making and operational work </w:t>
      </w:r>
      <w:r>
        <w:rPr>
          <w:rFonts w:eastAsia="Times New Roman" w:cs="Arial"/>
          <w:color w:val="222222"/>
          <w:lang w:bidi="he-IL"/>
        </w:rPr>
        <w:t>supporting: law reform to eliminate infringement o</w:t>
      </w:r>
      <w:r w:rsidR="001A7DA1">
        <w:rPr>
          <w:rFonts w:eastAsia="Times New Roman" w:cs="Arial"/>
          <w:color w:val="222222"/>
          <w:lang w:bidi="he-IL"/>
        </w:rPr>
        <w:t>f</w:t>
      </w:r>
      <w:r>
        <w:rPr>
          <w:rFonts w:eastAsia="Times New Roman" w:cs="Arial"/>
          <w:color w:val="222222"/>
          <w:lang w:bidi="he-IL"/>
        </w:rPr>
        <w:t xml:space="preserve"> this right and </w:t>
      </w:r>
      <w:r w:rsidR="007460AF">
        <w:rPr>
          <w:rFonts w:eastAsia="Times New Roman" w:cs="Arial"/>
          <w:color w:val="222222"/>
          <w:lang w:bidi="he-IL"/>
        </w:rPr>
        <w:t xml:space="preserve">to </w:t>
      </w:r>
      <w:r>
        <w:rPr>
          <w:rFonts w:eastAsia="Times New Roman" w:cs="Arial"/>
          <w:color w:val="222222"/>
          <w:lang w:bidi="he-IL"/>
        </w:rPr>
        <w:t xml:space="preserve">create an enabling framework for its implementation; </w:t>
      </w:r>
      <w:r w:rsidR="00EE3404">
        <w:rPr>
          <w:rFonts w:eastAsia="Times New Roman" w:cs="Arial"/>
          <w:color w:val="222222"/>
          <w:lang w:bidi="he-IL"/>
        </w:rPr>
        <w:t xml:space="preserve">policy development to turn reformed legal codes to </w:t>
      </w:r>
      <w:r w:rsidR="00844B51">
        <w:rPr>
          <w:rFonts w:eastAsia="Times New Roman" w:cs="Arial"/>
          <w:color w:val="222222"/>
          <w:lang w:bidi="he-IL"/>
        </w:rPr>
        <w:t>practical systems</w:t>
      </w:r>
      <w:r w:rsidR="00EE3404">
        <w:rPr>
          <w:rFonts w:eastAsia="Times New Roman" w:cs="Arial"/>
          <w:color w:val="222222"/>
          <w:lang w:bidi="he-IL"/>
        </w:rPr>
        <w:t xml:space="preserve">; </w:t>
      </w:r>
      <w:r w:rsidR="00765888">
        <w:rPr>
          <w:rFonts w:eastAsia="Times New Roman" w:cs="Arial"/>
          <w:color w:val="222222"/>
          <w:lang w:bidi="he-IL"/>
        </w:rPr>
        <w:t xml:space="preserve">litigation </w:t>
      </w:r>
      <w:r w:rsidR="00844B51">
        <w:rPr>
          <w:rFonts w:eastAsia="Times New Roman" w:cs="Arial"/>
          <w:color w:val="222222"/>
          <w:lang w:bidi="he-IL"/>
        </w:rPr>
        <w:t xml:space="preserve">challenging </w:t>
      </w:r>
      <w:r w:rsidR="00765888">
        <w:rPr>
          <w:rFonts w:eastAsia="Times New Roman" w:cs="Arial"/>
          <w:color w:val="222222"/>
          <w:lang w:bidi="he-IL"/>
        </w:rPr>
        <w:t xml:space="preserve">guardianship regimes; </w:t>
      </w:r>
      <w:r>
        <w:rPr>
          <w:rFonts w:eastAsia="Times New Roman" w:cs="Arial"/>
          <w:color w:val="222222"/>
          <w:lang w:bidi="he-IL"/>
        </w:rPr>
        <w:t xml:space="preserve">establishment of supported decision-making models </w:t>
      </w:r>
      <w:r w:rsidR="00844B51">
        <w:rPr>
          <w:rFonts w:eastAsia="Times New Roman" w:cs="Arial"/>
          <w:color w:val="222222"/>
          <w:lang w:bidi="he-IL"/>
        </w:rPr>
        <w:t>demonstrating</w:t>
      </w:r>
      <w:r>
        <w:rPr>
          <w:rFonts w:eastAsia="Times New Roman" w:cs="Arial"/>
          <w:color w:val="222222"/>
          <w:lang w:bidi="he-IL"/>
        </w:rPr>
        <w:t xml:space="preserve"> how legal capacity can be upheld for all; research address</w:t>
      </w:r>
      <w:r w:rsidR="00844B51">
        <w:rPr>
          <w:rFonts w:eastAsia="Times New Roman" w:cs="Arial"/>
          <w:color w:val="222222"/>
          <w:lang w:bidi="he-IL"/>
        </w:rPr>
        <w:t>ing</w:t>
      </w:r>
      <w:r>
        <w:rPr>
          <w:rFonts w:eastAsia="Times New Roman" w:cs="Arial"/>
          <w:color w:val="222222"/>
          <w:lang w:bidi="he-IL"/>
        </w:rPr>
        <w:t xml:space="preserve"> concerns </w:t>
      </w:r>
      <w:r w:rsidR="00844B51">
        <w:rPr>
          <w:rFonts w:eastAsia="Times New Roman" w:cs="Arial"/>
          <w:color w:val="222222"/>
          <w:lang w:bidi="he-IL"/>
        </w:rPr>
        <w:t xml:space="preserve">on </w:t>
      </w:r>
      <w:r>
        <w:rPr>
          <w:rFonts w:eastAsia="Times New Roman" w:cs="Arial"/>
          <w:color w:val="222222"/>
          <w:lang w:bidi="he-IL"/>
        </w:rPr>
        <w:t xml:space="preserve">protection from abuse; </w:t>
      </w:r>
      <w:r w:rsidR="00D25742">
        <w:rPr>
          <w:rFonts w:eastAsia="Times New Roman" w:cs="Arial"/>
          <w:color w:val="222222"/>
          <w:lang w:bidi="he-IL"/>
        </w:rPr>
        <w:t xml:space="preserve">advocacy to set </w:t>
      </w:r>
      <w:r w:rsidR="00844B51">
        <w:rPr>
          <w:rFonts w:eastAsia="Times New Roman" w:cs="Arial"/>
          <w:color w:val="222222"/>
          <w:lang w:bidi="he-IL"/>
        </w:rPr>
        <w:t xml:space="preserve">international </w:t>
      </w:r>
      <w:r w:rsidR="00D25742">
        <w:rPr>
          <w:rFonts w:eastAsia="Times New Roman" w:cs="Arial"/>
          <w:color w:val="222222"/>
          <w:lang w:bidi="he-IL"/>
        </w:rPr>
        <w:t xml:space="preserve">standards </w:t>
      </w:r>
      <w:r w:rsidR="00844B51">
        <w:rPr>
          <w:rFonts w:eastAsia="Times New Roman" w:cs="Arial"/>
          <w:color w:val="222222"/>
          <w:lang w:bidi="he-IL"/>
        </w:rPr>
        <w:t xml:space="preserve">paving the way for national </w:t>
      </w:r>
      <w:r w:rsidR="00D25742">
        <w:rPr>
          <w:rFonts w:eastAsia="Times New Roman" w:cs="Arial"/>
          <w:color w:val="222222"/>
          <w:lang w:bidi="he-IL"/>
        </w:rPr>
        <w:t>reform</w:t>
      </w:r>
      <w:r w:rsidR="00844B51">
        <w:rPr>
          <w:rFonts w:eastAsia="Times New Roman" w:cs="Arial"/>
          <w:color w:val="222222"/>
          <w:lang w:bidi="he-IL"/>
        </w:rPr>
        <w:t>s</w:t>
      </w:r>
      <w:r w:rsidR="00D25742">
        <w:rPr>
          <w:rFonts w:eastAsia="Times New Roman" w:cs="Arial"/>
          <w:color w:val="222222"/>
          <w:lang w:bidi="he-IL"/>
        </w:rPr>
        <w:t xml:space="preserve">; </w:t>
      </w:r>
      <w:r>
        <w:rPr>
          <w:rFonts w:eastAsia="Times New Roman" w:cs="Arial"/>
          <w:color w:val="222222"/>
          <w:lang w:bidi="he-IL"/>
        </w:rPr>
        <w:t xml:space="preserve">and technical assistance to carry forward this complex work. </w:t>
      </w:r>
    </w:p>
    <w:p w:rsidR="001D64FF" w:rsidRDefault="00CF3D13" w:rsidP="001D64FF">
      <w:pPr>
        <w:shd w:val="clear" w:color="auto" w:fill="FFFFFF"/>
        <w:ind w:right="-334"/>
        <w:rPr>
          <w:rFonts w:eastAsia="Times New Roman" w:cs="Arial"/>
          <w:color w:val="222222"/>
          <w:lang w:bidi="he-IL"/>
        </w:rPr>
      </w:pPr>
      <w:r>
        <w:rPr>
          <w:rFonts w:eastAsia="Times New Roman" w:cs="Arial"/>
          <w:color w:val="222222"/>
          <w:lang w:bidi="he-IL"/>
        </w:rPr>
        <w:t>Since n</w:t>
      </w:r>
      <w:r w:rsidR="007B1AEC" w:rsidRPr="00A66A18">
        <w:rPr>
          <w:rFonts w:eastAsia="Times New Roman" w:cs="Arial"/>
          <w:color w:val="222222"/>
          <w:lang w:bidi="he-IL"/>
        </w:rPr>
        <w:t xml:space="preserve">o system exists that does not resort to </w:t>
      </w:r>
      <w:r w:rsidR="007B1AEC">
        <w:rPr>
          <w:rFonts w:eastAsia="Times New Roman" w:cs="Arial"/>
          <w:color w:val="222222"/>
          <w:lang w:bidi="he-IL"/>
        </w:rPr>
        <w:t>denying</w:t>
      </w:r>
      <w:r w:rsidR="007B1AEC" w:rsidRPr="00A66A18">
        <w:rPr>
          <w:rFonts w:eastAsia="Times New Roman" w:cs="Arial"/>
          <w:color w:val="222222"/>
          <w:lang w:bidi="he-IL"/>
        </w:rPr>
        <w:t xml:space="preserve"> legal capacity, </w:t>
      </w:r>
      <w:r>
        <w:rPr>
          <w:rFonts w:eastAsia="Times New Roman" w:cs="Arial"/>
          <w:color w:val="222222"/>
          <w:lang w:bidi="he-IL"/>
        </w:rPr>
        <w:t xml:space="preserve">we do not have an example of </w:t>
      </w:r>
      <w:r w:rsidR="00BF1393">
        <w:rPr>
          <w:rFonts w:eastAsia="Times New Roman" w:cs="Arial"/>
          <w:color w:val="222222"/>
          <w:lang w:bidi="he-IL"/>
        </w:rPr>
        <w:t>a</w:t>
      </w:r>
      <w:r>
        <w:rPr>
          <w:rFonts w:eastAsia="Times New Roman" w:cs="Arial"/>
          <w:color w:val="222222"/>
          <w:lang w:bidi="he-IL"/>
        </w:rPr>
        <w:t xml:space="preserve"> country </w:t>
      </w:r>
      <w:r w:rsidR="00BF1393">
        <w:rPr>
          <w:rFonts w:eastAsia="Times New Roman" w:cs="Arial"/>
          <w:color w:val="222222"/>
          <w:lang w:bidi="he-IL"/>
        </w:rPr>
        <w:t>that</w:t>
      </w:r>
      <w:r>
        <w:rPr>
          <w:rFonts w:eastAsia="Times New Roman" w:cs="Arial"/>
          <w:color w:val="222222"/>
          <w:lang w:bidi="he-IL"/>
        </w:rPr>
        <w:t xml:space="preserve"> we can point </w:t>
      </w:r>
      <w:r w:rsidR="00BF1393">
        <w:rPr>
          <w:rFonts w:eastAsia="Times New Roman" w:cs="Arial"/>
          <w:color w:val="222222"/>
          <w:lang w:bidi="he-IL"/>
        </w:rPr>
        <w:t>to</w:t>
      </w:r>
      <w:r>
        <w:rPr>
          <w:rFonts w:eastAsia="Times New Roman" w:cs="Arial"/>
          <w:color w:val="222222"/>
          <w:lang w:bidi="he-IL"/>
        </w:rPr>
        <w:t xml:space="preserve"> for best practices. G</w:t>
      </w:r>
      <w:r w:rsidR="007B1AEC">
        <w:rPr>
          <w:rFonts w:eastAsia="Times New Roman" w:cs="Arial"/>
          <w:color w:val="222222"/>
          <w:lang w:bidi="he-IL"/>
        </w:rPr>
        <w:t xml:space="preserve">iven the complexity of the issue, leading factors in our choice of countries </w:t>
      </w:r>
      <w:r w:rsidR="00E75025">
        <w:rPr>
          <w:rFonts w:eastAsia="Times New Roman" w:cs="Arial"/>
          <w:color w:val="222222"/>
          <w:lang w:bidi="he-IL"/>
        </w:rPr>
        <w:t>are</w:t>
      </w:r>
      <w:r w:rsidR="008A19CE">
        <w:rPr>
          <w:rFonts w:eastAsia="Times New Roman" w:cs="Arial"/>
          <w:color w:val="222222"/>
          <w:lang w:bidi="he-IL"/>
        </w:rPr>
        <w:t>:</w:t>
      </w:r>
      <w:r w:rsidR="00E75025">
        <w:rPr>
          <w:rFonts w:eastAsia="Times New Roman" w:cs="Arial"/>
          <w:color w:val="222222"/>
          <w:lang w:bidi="he-IL"/>
        </w:rPr>
        <w:t xml:space="preserve"> </w:t>
      </w:r>
      <w:r w:rsidR="007B1AEC">
        <w:rPr>
          <w:rFonts w:eastAsia="Times New Roman" w:cs="Arial"/>
          <w:color w:val="222222"/>
          <w:lang w:bidi="he-IL"/>
        </w:rPr>
        <w:t>the strength of the potential partners</w:t>
      </w:r>
      <w:r w:rsidR="008A19CE">
        <w:rPr>
          <w:rFonts w:eastAsia="Times New Roman" w:cs="Arial"/>
          <w:color w:val="222222"/>
          <w:lang w:bidi="he-IL"/>
        </w:rPr>
        <w:t xml:space="preserve">; </w:t>
      </w:r>
      <w:r>
        <w:rPr>
          <w:rFonts w:eastAsia="Times New Roman" w:cs="Arial"/>
          <w:color w:val="222222"/>
          <w:lang w:bidi="he-IL"/>
        </w:rPr>
        <w:t>having the right combination of partners</w:t>
      </w:r>
      <w:r w:rsidR="00052689">
        <w:rPr>
          <w:rFonts w:eastAsia="Times New Roman" w:cs="Arial"/>
          <w:color w:val="222222"/>
          <w:lang w:bidi="he-IL"/>
        </w:rPr>
        <w:t>,</w:t>
      </w:r>
      <w:r>
        <w:rPr>
          <w:rFonts w:eastAsia="Times New Roman" w:cs="Arial"/>
          <w:color w:val="222222"/>
          <w:lang w:bidi="he-IL"/>
        </w:rPr>
        <w:t xml:space="preserve"> </w:t>
      </w:r>
      <w:r w:rsidR="00052689">
        <w:rPr>
          <w:rFonts w:eastAsia="Times New Roman" w:cs="Arial"/>
          <w:color w:val="222222"/>
          <w:lang w:bidi="he-IL"/>
        </w:rPr>
        <w:t>w</w:t>
      </w:r>
      <w:r w:rsidR="008A19CE">
        <w:rPr>
          <w:rFonts w:eastAsia="Times New Roman" w:cs="Arial"/>
          <w:color w:val="222222"/>
          <w:lang w:bidi="he-IL"/>
        </w:rPr>
        <w:t xml:space="preserve">hich should include </w:t>
      </w:r>
      <w:r>
        <w:rPr>
          <w:rFonts w:eastAsia="Times New Roman" w:cs="Arial"/>
          <w:color w:val="222222"/>
          <w:lang w:bidi="he-IL"/>
        </w:rPr>
        <w:t xml:space="preserve">groups directly affected by the issue, </w:t>
      </w:r>
      <w:r w:rsidR="00E75025">
        <w:rPr>
          <w:rFonts w:eastAsia="Times New Roman" w:cs="Arial"/>
          <w:color w:val="222222"/>
          <w:lang w:bidi="he-IL"/>
        </w:rPr>
        <w:t xml:space="preserve">groups that have </w:t>
      </w:r>
      <w:r>
        <w:rPr>
          <w:rFonts w:eastAsia="Times New Roman" w:cs="Arial"/>
          <w:color w:val="222222"/>
          <w:lang w:bidi="he-IL"/>
        </w:rPr>
        <w:t xml:space="preserve">credibility </w:t>
      </w:r>
      <w:r w:rsidR="00052689">
        <w:rPr>
          <w:rFonts w:eastAsia="Times New Roman" w:cs="Arial"/>
          <w:color w:val="222222"/>
          <w:lang w:bidi="he-IL"/>
        </w:rPr>
        <w:t>to convene and summon cross-sector</w:t>
      </w:r>
      <w:r w:rsidR="007460AF">
        <w:rPr>
          <w:rFonts w:eastAsia="Times New Roman" w:cs="Arial"/>
          <w:color w:val="222222"/>
          <w:lang w:bidi="he-IL"/>
        </w:rPr>
        <w:t>i</w:t>
      </w:r>
      <w:r w:rsidR="00052689">
        <w:rPr>
          <w:rFonts w:eastAsia="Times New Roman" w:cs="Arial"/>
          <w:color w:val="222222"/>
          <w:lang w:bidi="he-IL"/>
        </w:rPr>
        <w:t xml:space="preserve">al partners </w:t>
      </w:r>
      <w:r>
        <w:rPr>
          <w:rFonts w:eastAsia="Times New Roman" w:cs="Arial"/>
          <w:color w:val="222222"/>
          <w:lang w:bidi="he-IL"/>
        </w:rPr>
        <w:t xml:space="preserve">within the disability movement </w:t>
      </w:r>
      <w:r w:rsidR="00052689">
        <w:rPr>
          <w:rFonts w:eastAsia="Times New Roman" w:cs="Arial"/>
          <w:color w:val="222222"/>
          <w:lang w:bidi="he-IL"/>
        </w:rPr>
        <w:t xml:space="preserve">and beyond, </w:t>
      </w:r>
      <w:r>
        <w:rPr>
          <w:rFonts w:eastAsia="Times New Roman" w:cs="Arial"/>
          <w:color w:val="222222"/>
          <w:lang w:bidi="he-IL"/>
        </w:rPr>
        <w:t xml:space="preserve">and </w:t>
      </w:r>
      <w:r w:rsidR="00E75025">
        <w:rPr>
          <w:rFonts w:eastAsia="Times New Roman" w:cs="Arial"/>
          <w:color w:val="222222"/>
          <w:lang w:bidi="he-IL"/>
        </w:rPr>
        <w:t xml:space="preserve">groups </w:t>
      </w:r>
      <w:r>
        <w:rPr>
          <w:rFonts w:eastAsia="Times New Roman" w:cs="Arial"/>
          <w:color w:val="222222"/>
          <w:lang w:bidi="he-IL"/>
        </w:rPr>
        <w:t xml:space="preserve">having a legal bent (from our experience there will not be one organization covering all three </w:t>
      </w:r>
      <w:r w:rsidR="00E75025">
        <w:rPr>
          <w:rFonts w:eastAsia="Times New Roman" w:cs="Arial"/>
          <w:color w:val="222222"/>
          <w:lang w:bidi="he-IL"/>
        </w:rPr>
        <w:t>criteria</w:t>
      </w:r>
      <w:r>
        <w:rPr>
          <w:rFonts w:eastAsia="Times New Roman" w:cs="Arial"/>
          <w:color w:val="222222"/>
          <w:lang w:bidi="he-IL"/>
        </w:rPr>
        <w:t>)</w:t>
      </w:r>
      <w:r w:rsidR="00E75025">
        <w:rPr>
          <w:rFonts w:eastAsia="Times New Roman" w:cs="Arial"/>
          <w:color w:val="222222"/>
          <w:lang w:bidi="he-IL"/>
        </w:rPr>
        <w:t xml:space="preserve">. </w:t>
      </w:r>
      <w:r w:rsidR="00052689">
        <w:rPr>
          <w:rFonts w:eastAsia="Times New Roman" w:cs="Arial"/>
          <w:color w:val="222222"/>
          <w:lang w:bidi="he-IL"/>
        </w:rPr>
        <w:t>Since in this area differences among contexts are especially pronounced, w</w:t>
      </w:r>
      <w:r w:rsidR="00E75025">
        <w:rPr>
          <w:rFonts w:eastAsia="Times New Roman" w:cs="Arial"/>
          <w:color w:val="222222"/>
          <w:lang w:bidi="he-IL"/>
        </w:rPr>
        <w:t xml:space="preserve">e </w:t>
      </w:r>
      <w:r w:rsidR="001D64FF">
        <w:rPr>
          <w:rFonts w:eastAsia="Times New Roman" w:cs="Arial"/>
          <w:color w:val="222222"/>
          <w:lang w:bidi="he-IL"/>
        </w:rPr>
        <w:t xml:space="preserve">also </w:t>
      </w:r>
      <w:r w:rsidR="00E75025">
        <w:rPr>
          <w:rFonts w:eastAsia="Times New Roman" w:cs="Arial"/>
          <w:color w:val="222222"/>
          <w:lang w:bidi="he-IL"/>
        </w:rPr>
        <w:t xml:space="preserve">seek to ensure that </w:t>
      </w:r>
      <w:r w:rsidR="008A19CE">
        <w:rPr>
          <w:rFonts w:eastAsia="Times New Roman" w:cs="Arial"/>
          <w:color w:val="222222"/>
          <w:lang w:bidi="he-IL"/>
        </w:rPr>
        <w:t xml:space="preserve">the main </w:t>
      </w:r>
      <w:r w:rsidR="00052689">
        <w:rPr>
          <w:rFonts w:eastAsia="Times New Roman" w:cs="Arial"/>
          <w:color w:val="222222"/>
          <w:lang w:bidi="he-IL"/>
        </w:rPr>
        <w:t xml:space="preserve">ways in which legal capacity play out </w:t>
      </w:r>
      <w:r w:rsidR="00E75025">
        <w:rPr>
          <w:rFonts w:eastAsia="Times New Roman" w:cs="Arial"/>
          <w:color w:val="222222"/>
          <w:lang w:bidi="he-IL"/>
        </w:rPr>
        <w:t xml:space="preserve">in </w:t>
      </w:r>
      <w:r w:rsidR="007B1AEC">
        <w:rPr>
          <w:rFonts w:eastAsia="Times New Roman" w:cs="Arial"/>
          <w:color w:val="222222"/>
          <w:lang w:bidi="he-IL"/>
        </w:rPr>
        <w:t xml:space="preserve">each of the three regions </w:t>
      </w:r>
      <w:r>
        <w:rPr>
          <w:rFonts w:eastAsia="Times New Roman" w:cs="Arial"/>
          <w:color w:val="222222"/>
          <w:lang w:bidi="he-IL"/>
        </w:rPr>
        <w:t xml:space="preserve">in which we support disability rights work </w:t>
      </w:r>
      <w:r w:rsidR="00052689">
        <w:rPr>
          <w:rFonts w:eastAsia="Times New Roman" w:cs="Arial"/>
          <w:color w:val="222222"/>
          <w:lang w:bidi="he-IL"/>
        </w:rPr>
        <w:t>(Africa, Latin America and Central and Eastern Europe) is represented through our country selection, in order to develop a range of practice</w:t>
      </w:r>
      <w:r w:rsidR="001D64FF">
        <w:rPr>
          <w:rFonts w:eastAsia="Times New Roman" w:cs="Arial"/>
          <w:color w:val="222222"/>
          <w:lang w:bidi="he-IL"/>
        </w:rPr>
        <w:t xml:space="preserve"> appropriate to these diverse contexts</w:t>
      </w:r>
      <w:r w:rsidR="00E75025">
        <w:rPr>
          <w:rFonts w:eastAsia="Times New Roman" w:cs="Arial"/>
          <w:color w:val="222222"/>
          <w:lang w:bidi="he-IL"/>
        </w:rPr>
        <w:t>.</w:t>
      </w:r>
    </w:p>
    <w:p w:rsidR="001D64FF" w:rsidRDefault="002310D3" w:rsidP="001D64FF">
      <w:pPr>
        <w:shd w:val="clear" w:color="auto" w:fill="FFFFFF"/>
        <w:ind w:right="-334"/>
        <w:rPr>
          <w:rFonts w:eastAsia="Times New Roman" w:cs="Arial"/>
          <w:color w:val="222222"/>
          <w:lang w:bidi="he-IL"/>
        </w:rPr>
      </w:pPr>
      <w:r w:rsidRPr="00797058">
        <w:rPr>
          <w:b/>
          <w:u w:val="single"/>
        </w:rPr>
        <w:t xml:space="preserve">Partners </w:t>
      </w:r>
    </w:p>
    <w:p w:rsidR="00C0625E" w:rsidRPr="001D64FF" w:rsidRDefault="0068489E" w:rsidP="001D64FF">
      <w:pPr>
        <w:shd w:val="clear" w:color="auto" w:fill="FFFFFF"/>
        <w:ind w:right="-334"/>
        <w:rPr>
          <w:rFonts w:eastAsia="Times New Roman" w:cs="Arial"/>
          <w:color w:val="222222"/>
          <w:lang w:bidi="he-IL"/>
        </w:rPr>
      </w:pPr>
      <w:r>
        <w:t xml:space="preserve">The Human Rights Initiative is leading the work within the </w:t>
      </w:r>
      <w:r w:rsidRPr="00570AFC">
        <w:rPr>
          <w:u w:val="single"/>
        </w:rPr>
        <w:t>Open Society Foundations</w:t>
      </w:r>
      <w:r>
        <w:t xml:space="preserve"> in this area. </w:t>
      </w:r>
      <w:r w:rsidR="00C82DC2">
        <w:t>Programming</w:t>
      </w:r>
      <w:r w:rsidR="00844B51">
        <w:t xml:space="preserve"> in Eastern and Southern Africa is done in close collaboration, including co-funding, with our </w:t>
      </w:r>
      <w:r>
        <w:t xml:space="preserve">colleagues at </w:t>
      </w:r>
      <w:r w:rsidR="00844B51">
        <w:t xml:space="preserve">OSIEA and OSISA. We partner with the Justice Initiative in developing university-based legal clinics </w:t>
      </w:r>
      <w:r w:rsidR="00F67AEE">
        <w:t>that</w:t>
      </w:r>
      <w:r w:rsidR="00844B51">
        <w:t xml:space="preserve"> expose law students to </w:t>
      </w:r>
      <w:r w:rsidR="005179D8">
        <w:t xml:space="preserve">ways in which denial of legal capacity plays out in people’s lives. We also </w:t>
      </w:r>
      <w:r w:rsidR="00F67AEE">
        <w:t>have</w:t>
      </w:r>
      <w:r w:rsidR="005179D8">
        <w:t xml:space="preserve"> discuss</w:t>
      </w:r>
      <w:r w:rsidR="00F67AEE">
        <w:t>ed</w:t>
      </w:r>
      <w:r w:rsidR="005179D8">
        <w:t xml:space="preserve"> with Justice Initiative colleagues several of their cases in which limitations of clients’ legal capacity figured. </w:t>
      </w:r>
      <w:r w:rsidR="00797058">
        <w:t>In 2014</w:t>
      </w:r>
      <w:r w:rsidR="00F67AEE">
        <w:t>,</w:t>
      </w:r>
      <w:r w:rsidR="00797058">
        <w:t xml:space="preserve"> Open Society Fellowships granted its first fellowship relating to the rights of persons with di</w:t>
      </w:r>
      <w:r w:rsidR="00F67AEE">
        <w:t>sabilities to Dr. Michael Bach. Dr. Bach</w:t>
      </w:r>
      <w:r w:rsidR="00797058">
        <w:t xml:space="preserve"> is a strategic partner and </w:t>
      </w:r>
      <w:r w:rsidR="00F67AEE">
        <w:t xml:space="preserve">is </w:t>
      </w:r>
      <w:r w:rsidR="00797058">
        <w:t xml:space="preserve">helping inform our strategy on legal capacity (as detailed below as well), enabling him to consolidate his analysis of the processes he is advising into one of the first books on the issue. </w:t>
      </w:r>
      <w:r w:rsidR="005179D8">
        <w:t xml:space="preserve">Legal capacity was a component in </w:t>
      </w:r>
      <w:r w:rsidR="00E75025">
        <w:t xml:space="preserve">the </w:t>
      </w:r>
      <w:r w:rsidR="005179D8">
        <w:t>Public Health Program</w:t>
      </w:r>
      <w:r w:rsidR="0007017C">
        <w:t xml:space="preserve">’s </w:t>
      </w:r>
      <w:r w:rsidR="005179D8">
        <w:t>campaign against torture in hea</w:t>
      </w:r>
      <w:r w:rsidR="008F28A8">
        <w:t>l</w:t>
      </w:r>
      <w:r w:rsidR="005179D8">
        <w:t xml:space="preserve">th </w:t>
      </w:r>
      <w:r w:rsidR="0007017C">
        <w:t xml:space="preserve">care settings, and </w:t>
      </w:r>
      <w:r w:rsidR="008F28A8">
        <w:t xml:space="preserve">is </w:t>
      </w:r>
      <w:r w:rsidR="005179D8">
        <w:t>inextricably linked</w:t>
      </w:r>
      <w:r w:rsidR="008F28A8">
        <w:t xml:space="preserve"> with </w:t>
      </w:r>
      <w:r w:rsidR="0007017C">
        <w:t xml:space="preserve">deinstitutionalization of persons with disabilities and the right to live in the community—a focus area of the Mental Health Initiative. </w:t>
      </w:r>
      <w:r w:rsidR="009744B5">
        <w:t>W</w:t>
      </w:r>
      <w:r w:rsidR="00F67AEE">
        <w:t xml:space="preserve">ith </w:t>
      </w:r>
      <w:r w:rsidR="009415DC">
        <w:t xml:space="preserve">the Program’s </w:t>
      </w:r>
      <w:r w:rsidR="00F67AEE">
        <w:t xml:space="preserve">International Harm Reduction </w:t>
      </w:r>
      <w:r w:rsidR="009744B5">
        <w:t xml:space="preserve">Development Program we are exploring the links between the denial of legal capacity for drug users and persons with disabilities, who are often detained in “therapeutic communities” and subject to forced treatment and involuntary confinement. </w:t>
      </w:r>
      <w:r w:rsidR="0007017C">
        <w:t xml:space="preserve">Legal capacity is implicated in the Open Society Policy </w:t>
      </w:r>
      <w:r w:rsidR="00C82DC2">
        <w:t xml:space="preserve">Center’s </w:t>
      </w:r>
      <w:r w:rsidR="0007017C">
        <w:t xml:space="preserve">advocacy </w:t>
      </w:r>
      <w:r w:rsidR="005E7E7F">
        <w:t xml:space="preserve">for </w:t>
      </w:r>
      <w:r w:rsidR="0007017C">
        <w:t>U.S. ratification of the CRPD by virtue of being a core right in the treaty</w:t>
      </w:r>
      <w:r w:rsidR="009415DC">
        <w:t>,</w:t>
      </w:r>
      <w:r w:rsidR="00C82DC2">
        <w:t xml:space="preserve"> and in US work around voting rights</w:t>
      </w:r>
      <w:r w:rsidR="0007017C">
        <w:t xml:space="preserve">. </w:t>
      </w:r>
    </w:p>
    <w:p w:rsidR="002310D3" w:rsidRDefault="00C82DC2" w:rsidP="009415DC">
      <w:pPr>
        <w:ind w:right="-334"/>
      </w:pPr>
      <w:r>
        <w:t xml:space="preserve">Beyond OSF, the </w:t>
      </w:r>
      <w:r w:rsidR="002310D3" w:rsidRPr="00D06875">
        <w:rPr>
          <w:i/>
          <w:iCs/>
        </w:rPr>
        <w:t>Mental Disability Advocacy Center</w:t>
      </w:r>
      <w:r w:rsidR="002310D3">
        <w:t xml:space="preserve"> was one of the first organizations to use legal advocacy tools to challenge the denial of legal capacity</w:t>
      </w:r>
      <w:r w:rsidR="00FE40D8">
        <w:t xml:space="preserve"> in Central and Eastern Europe</w:t>
      </w:r>
      <w:r w:rsidR="002310D3">
        <w:t xml:space="preserve">. The Center’s litigation before the European Court of Human Rights holding Russia, Bulgaria, and Ukraine, among others, accountable for violations of the right to legal capacity led to </w:t>
      </w:r>
      <w:r>
        <w:t>the</w:t>
      </w:r>
      <w:r w:rsidR="002310D3">
        <w:t xml:space="preserve"> first trickle of precedent-setting jurisprudence (e.g., </w:t>
      </w:r>
      <w:r w:rsidR="002310D3">
        <w:rPr>
          <w:i/>
          <w:iCs/>
        </w:rPr>
        <w:t xml:space="preserve">Shtukaturov </w:t>
      </w:r>
      <w:r w:rsidR="002310D3" w:rsidRPr="00CD6E8E">
        <w:rPr>
          <w:i/>
          <w:iCs/>
        </w:rPr>
        <w:t>v. Russia</w:t>
      </w:r>
      <w:r w:rsidR="002310D3">
        <w:t xml:space="preserve">). It also ignited legislative reforms to curb some of the most marginalizing forms of violations of this right, such as the denial of independent access to the court to challenge incapacitation. </w:t>
      </w:r>
    </w:p>
    <w:p w:rsidR="002310D3" w:rsidRDefault="002310D3" w:rsidP="009415DC">
      <w:pPr>
        <w:ind w:right="-334"/>
      </w:pPr>
      <w:r w:rsidRPr="00D06875">
        <w:rPr>
          <w:i/>
          <w:iCs/>
        </w:rPr>
        <w:t>Inclusion International</w:t>
      </w:r>
      <w:r>
        <w:t xml:space="preserve">, the international advocacy organization representing persons with intellectual disabilities and their families, has done impressive groundwork attuning individuals and families to the issue. By advocating before international bodies, Inclusion International helped shape the contours of supported decision-making, one of the most important alternatives to stripping away legal capacity. </w:t>
      </w:r>
      <w:r w:rsidR="00B23D70">
        <w:t xml:space="preserve">In June, </w:t>
      </w:r>
      <w:r w:rsidR="001655D3">
        <w:t xml:space="preserve">the group </w:t>
      </w:r>
      <w:r>
        <w:t xml:space="preserve">released </w:t>
      </w:r>
      <w:r w:rsidR="00B23D70">
        <w:t xml:space="preserve">an excellent </w:t>
      </w:r>
      <w:r>
        <w:t>report</w:t>
      </w:r>
      <w:r w:rsidR="0029703D">
        <w:t xml:space="preserve">, </w:t>
      </w:r>
      <w:r w:rsidR="00FE584E">
        <w:rPr>
          <w:bCs/>
        </w:rPr>
        <w:t>“Independent but Not Alone—A Global Report on the Right to Decide.”</w:t>
      </w:r>
      <w:r w:rsidR="00FE584E">
        <w:t xml:space="preserve"> </w:t>
      </w:r>
      <w:r w:rsidR="0029703D">
        <w:t xml:space="preserve">Its merits, and how it caused us to reflect on our portfolio of work, will be described below. </w:t>
      </w:r>
    </w:p>
    <w:p w:rsidR="002310D3" w:rsidRDefault="00236ABD" w:rsidP="009415DC">
      <w:pPr>
        <w:ind w:right="-334"/>
        <w:rPr>
          <w:lang w:eastAsia="en-CA"/>
        </w:rPr>
      </w:pPr>
      <w:r>
        <w:rPr>
          <w:lang w:eastAsia="en-CA"/>
        </w:rPr>
        <w:t xml:space="preserve">In the past two decades, </w:t>
      </w:r>
      <w:r w:rsidRPr="00570AFC">
        <w:rPr>
          <w:lang w:eastAsia="en-CA"/>
        </w:rPr>
        <w:t xml:space="preserve">Dr. Michael Bach, </w:t>
      </w:r>
      <w:r w:rsidRPr="00570AFC">
        <w:t>director of the</w:t>
      </w:r>
      <w:r w:rsidRPr="00D06875">
        <w:rPr>
          <w:i/>
          <w:iCs/>
        </w:rPr>
        <w:t xml:space="preserve"> Institute for Research and Development on Inclusion and Society (Canada)</w:t>
      </w:r>
      <w:r>
        <w:t xml:space="preserve">, </w:t>
      </w:r>
      <w:r>
        <w:rPr>
          <w:lang w:eastAsia="en-CA"/>
        </w:rPr>
        <w:t xml:space="preserve">has explored </w:t>
      </w:r>
      <w:r w:rsidR="002310D3">
        <w:rPr>
          <w:lang w:eastAsia="en-CA"/>
        </w:rPr>
        <w:t>conceptual, legal</w:t>
      </w:r>
      <w:r w:rsidR="00B60648">
        <w:rPr>
          <w:lang w:eastAsia="en-CA"/>
        </w:rPr>
        <w:t>,</w:t>
      </w:r>
      <w:r w:rsidR="002310D3">
        <w:rPr>
          <w:lang w:eastAsia="en-CA"/>
        </w:rPr>
        <w:t xml:space="preserve"> and practical ways to retain decision-making by individuals with significant disabilities</w:t>
      </w:r>
      <w:r>
        <w:rPr>
          <w:lang w:eastAsia="en-CA"/>
        </w:rPr>
        <w:t xml:space="preserve">. </w:t>
      </w:r>
      <w:r w:rsidR="002310D3" w:rsidRPr="000E3C46">
        <w:rPr>
          <w:lang w:eastAsia="en-CA"/>
        </w:rPr>
        <w:t xml:space="preserve">Following </w:t>
      </w:r>
      <w:r w:rsidR="002310D3">
        <w:rPr>
          <w:lang w:eastAsia="en-CA"/>
        </w:rPr>
        <w:t xml:space="preserve">the 2011 Madrid meeting, </w:t>
      </w:r>
      <w:r w:rsidR="002310D3" w:rsidRPr="000E3C46">
        <w:rPr>
          <w:lang w:eastAsia="en-CA"/>
        </w:rPr>
        <w:t xml:space="preserve">Dr. Bach </w:t>
      </w:r>
      <w:r w:rsidR="002310D3">
        <w:rPr>
          <w:lang w:eastAsia="en-CA"/>
        </w:rPr>
        <w:t>helped us recognize the importance of supporting Article 12 projects as intentional multi-sector</w:t>
      </w:r>
      <w:r w:rsidR="00C82DC2">
        <w:rPr>
          <w:lang w:eastAsia="en-CA"/>
        </w:rPr>
        <w:t>i</w:t>
      </w:r>
      <w:r w:rsidR="002310D3">
        <w:rPr>
          <w:lang w:eastAsia="en-CA"/>
        </w:rPr>
        <w:t>al reform processes requiring multi-dimensional interventions. In consultation with our partners, w</w:t>
      </w:r>
      <w:r w:rsidR="002310D3" w:rsidRPr="000E3C46">
        <w:rPr>
          <w:lang w:eastAsia="en-CA"/>
        </w:rPr>
        <w:t>e chose three countries</w:t>
      </w:r>
      <w:r w:rsidR="002310D3">
        <w:rPr>
          <w:lang w:eastAsia="en-CA"/>
        </w:rPr>
        <w:t xml:space="preserve"> reflecting a diversity of contexts where grantees were interested in upgrading their work toward </w:t>
      </w:r>
      <w:r w:rsidR="002310D3" w:rsidRPr="000E3C46">
        <w:rPr>
          <w:lang w:eastAsia="en-CA"/>
        </w:rPr>
        <w:t>national-level reform</w:t>
      </w:r>
      <w:r>
        <w:rPr>
          <w:lang w:eastAsia="en-CA"/>
        </w:rPr>
        <w:t xml:space="preserve">: </w:t>
      </w:r>
      <w:r w:rsidR="002310D3" w:rsidRPr="000E3C46">
        <w:rPr>
          <w:lang w:eastAsia="en-CA"/>
        </w:rPr>
        <w:t>Bulgaria, Zambia</w:t>
      </w:r>
      <w:r w:rsidR="00B60648">
        <w:rPr>
          <w:lang w:eastAsia="en-CA"/>
        </w:rPr>
        <w:t>,</w:t>
      </w:r>
      <w:r w:rsidR="002310D3" w:rsidRPr="000E3C46">
        <w:rPr>
          <w:lang w:eastAsia="en-CA"/>
        </w:rPr>
        <w:t xml:space="preserve"> and Colombia</w:t>
      </w:r>
      <w:r w:rsidR="002310D3">
        <w:rPr>
          <w:lang w:eastAsia="en-CA"/>
        </w:rPr>
        <w:t>. The processes have yielded much learning</w:t>
      </w:r>
      <w:r w:rsidR="00B60648">
        <w:rPr>
          <w:lang w:eastAsia="en-CA"/>
        </w:rPr>
        <w:t>,</w:t>
      </w:r>
      <w:r w:rsidR="002310D3">
        <w:rPr>
          <w:lang w:eastAsia="en-CA"/>
        </w:rPr>
        <w:t xml:space="preserve"> which will be discussed below. </w:t>
      </w:r>
    </w:p>
    <w:p w:rsidR="002310D3" w:rsidRDefault="002310D3" w:rsidP="009415DC">
      <w:pPr>
        <w:ind w:right="-334"/>
      </w:pPr>
      <w:r>
        <w:t xml:space="preserve">The </w:t>
      </w:r>
      <w:r w:rsidRPr="00570AFC">
        <w:rPr>
          <w:i/>
          <w:iCs/>
        </w:rPr>
        <w:t>Centre for Disability Law and Policy at National University of Ireland</w:t>
      </w:r>
      <w:r>
        <w:t>, is a hub of pioneering academic research and advocacy, headed by legal scholar Professor Gerard Quinn (also a</w:t>
      </w:r>
      <w:r w:rsidR="00FE40D8">
        <w:t>n advisory</w:t>
      </w:r>
      <w:r>
        <w:t xml:space="preserve"> board member of the Human Rights Initiative). The Centre, </w:t>
      </w:r>
      <w:r w:rsidR="007D45FA">
        <w:t xml:space="preserve">with </w:t>
      </w:r>
      <w:r>
        <w:t xml:space="preserve">Dr. </w:t>
      </w:r>
      <w:r w:rsidR="001269CD">
        <w:t xml:space="preserve">Eilionóir Flynn </w:t>
      </w:r>
      <w:r>
        <w:t xml:space="preserve">at the helm, is leading the charge to replace </w:t>
      </w:r>
      <w:r w:rsidR="007D45FA">
        <w:t xml:space="preserve">Ireland’s </w:t>
      </w:r>
      <w:r>
        <w:t>incapacity-based legislation with a paradigm of “assisted decision-making</w:t>
      </w:r>
      <w:r w:rsidR="00DA1E20">
        <w:t>,</w:t>
      </w:r>
      <w:r>
        <w:t xml:space="preserve">” and coordinating a regional project with Balkan countries and Turkey to promote </w:t>
      </w:r>
      <w:r w:rsidR="007D45FA">
        <w:t xml:space="preserve">legal capacity </w:t>
      </w:r>
      <w:r>
        <w:t xml:space="preserve">reform. We share material and experiences </w:t>
      </w:r>
      <w:r w:rsidR="00645073">
        <w:t>between this project and those that the Human Rights Initiative is supporting</w:t>
      </w:r>
      <w:r>
        <w:t xml:space="preserve">. </w:t>
      </w:r>
    </w:p>
    <w:p w:rsidR="00E429F4" w:rsidRDefault="002310D3" w:rsidP="00E429F4">
      <w:pPr>
        <w:ind w:right="-334"/>
      </w:pPr>
      <w:r>
        <w:t xml:space="preserve">The </w:t>
      </w:r>
      <w:r w:rsidRPr="00D06875">
        <w:rPr>
          <w:i/>
          <w:iCs/>
        </w:rPr>
        <w:t>rights of</w:t>
      </w:r>
      <w:r>
        <w:t xml:space="preserve"> </w:t>
      </w:r>
      <w:r w:rsidRPr="00570AFC">
        <w:rPr>
          <w:i/>
          <w:iCs/>
        </w:rPr>
        <w:t xml:space="preserve">older </w:t>
      </w:r>
      <w:r w:rsidR="00CA714E" w:rsidRPr="00570AFC">
        <w:rPr>
          <w:i/>
          <w:iCs/>
        </w:rPr>
        <w:t>persons</w:t>
      </w:r>
      <w:r w:rsidR="00CA714E">
        <w:t xml:space="preserve"> </w:t>
      </w:r>
      <w:r>
        <w:t>are gaining momentum as an emerging human rights field</w:t>
      </w:r>
      <w:r w:rsidR="006E63F2">
        <w:t>. T</w:t>
      </w:r>
      <w:r w:rsidR="00CA714E">
        <w:t>reaty negotiation</w:t>
      </w:r>
      <w:r w:rsidR="00672FD6">
        <w:t>s</w:t>
      </w:r>
      <w:r w:rsidR="00CA714E">
        <w:t xml:space="preserve"> are advanced in the inter-American human rights system, and initial conversations are</w:t>
      </w:r>
      <w:r w:rsidR="00645073">
        <w:t xml:space="preserve"> being</w:t>
      </w:r>
      <w:r w:rsidR="00CA714E">
        <w:t xml:space="preserve"> held on a possible UN treaty on the rights of older persons</w:t>
      </w:r>
      <w:r>
        <w:t xml:space="preserve">. </w:t>
      </w:r>
      <w:r w:rsidR="008405CA">
        <w:t xml:space="preserve">We recognize the importance of working with this constituency, many of whom face challenges in exercising their legal capacity at the onset of dementia or other progressive conditions. </w:t>
      </w:r>
      <w:r>
        <w:t xml:space="preserve">Without a shared vision between the disability movement and that of older persons for providing the necessary supports and protection without </w:t>
      </w:r>
      <w:r w:rsidR="007703A4">
        <w:t xml:space="preserve">limiting </w:t>
      </w:r>
      <w:r>
        <w:t xml:space="preserve">legal capacity, the </w:t>
      </w:r>
      <w:r w:rsidR="00EE3404">
        <w:t>CRPD’s key accomplishment, recognizing</w:t>
      </w:r>
      <w:r>
        <w:t xml:space="preserve"> the right to exercise legal capacity by all</w:t>
      </w:r>
      <w:r w:rsidR="00EE3404">
        <w:t xml:space="preserve">, </w:t>
      </w:r>
      <w:r w:rsidR="00CA714E">
        <w:t xml:space="preserve">could </w:t>
      </w:r>
      <w:r>
        <w:t>be compromised</w:t>
      </w:r>
      <w:r w:rsidR="00CA714E">
        <w:t xml:space="preserve"> significantly</w:t>
      </w:r>
      <w:r>
        <w:t xml:space="preserve">. </w:t>
      </w:r>
    </w:p>
    <w:p w:rsidR="0007017C" w:rsidRDefault="002310D3" w:rsidP="00E429F4">
      <w:pPr>
        <w:ind w:right="-334"/>
      </w:pPr>
      <w:r>
        <w:t>Although persons with disabilities suffer from systemic negation of their legal existence, with</w:t>
      </w:r>
      <w:r w:rsidR="00C57C6B">
        <w:t xml:space="preserve"> a</w:t>
      </w:r>
      <w:r>
        <w:t xml:space="preserve"> few exception</w:t>
      </w:r>
      <w:r w:rsidR="00C57C6B">
        <w:t xml:space="preserve">s, including </w:t>
      </w:r>
      <w:r w:rsidR="00052689">
        <w:t xml:space="preserve">grantees such as </w:t>
      </w:r>
      <w:r w:rsidR="00C57C6B">
        <w:t xml:space="preserve">the </w:t>
      </w:r>
      <w:r w:rsidR="007703A4">
        <w:t xml:space="preserve">Bulgarian Helsinki Committee, </w:t>
      </w:r>
      <w:r w:rsidR="009649F6">
        <w:t>the Center for Legal and Social Studies (CELS)</w:t>
      </w:r>
      <w:r w:rsidR="007703A4">
        <w:t>, and Human Rights Watch</w:t>
      </w:r>
      <w:r w:rsidR="001655D3">
        <w:t>,</w:t>
      </w:r>
      <w:r>
        <w:t xml:space="preserve"> </w:t>
      </w:r>
      <w:r w:rsidR="00C57C6B">
        <w:t xml:space="preserve">most of </w:t>
      </w:r>
      <w:r>
        <w:t>the</w:t>
      </w:r>
      <w:r w:rsidR="00236ABD">
        <w:t xml:space="preserve"> </w:t>
      </w:r>
      <w:r w:rsidR="00236ABD" w:rsidRPr="00570AFC">
        <w:rPr>
          <w:i/>
          <w:iCs/>
        </w:rPr>
        <w:t>mainstream</w:t>
      </w:r>
      <w:r w:rsidRPr="00570AFC">
        <w:rPr>
          <w:i/>
          <w:iCs/>
        </w:rPr>
        <w:t xml:space="preserve"> human rights community</w:t>
      </w:r>
      <w:r w:rsidR="00C57C6B">
        <w:t xml:space="preserve"> </w:t>
      </w:r>
      <w:r>
        <w:t xml:space="preserve">has not yet embraced this as a human rights issue. </w:t>
      </w:r>
    </w:p>
    <w:p w:rsidR="002310D3" w:rsidRDefault="002310D3" w:rsidP="009415DC">
      <w:pPr>
        <w:ind w:right="-334"/>
      </w:pPr>
      <w:r>
        <w:t xml:space="preserve">This is true also for </w:t>
      </w:r>
      <w:r w:rsidRPr="00D06875">
        <w:rPr>
          <w:i/>
          <w:iCs/>
        </w:rPr>
        <w:t>donors in the human rights field</w:t>
      </w:r>
      <w:r w:rsidRPr="004B418E">
        <w:t xml:space="preserve">. The Open Society Foundations are the only donor with a deliberate strategy on legal capacity. The </w:t>
      </w:r>
      <w:r w:rsidR="00CA3998">
        <w:t xml:space="preserve">focus of the </w:t>
      </w:r>
      <w:r w:rsidRPr="004B418E">
        <w:t xml:space="preserve">few international donors funding disability rights </w:t>
      </w:r>
      <w:r w:rsidR="00CA3998">
        <w:t xml:space="preserve">is </w:t>
      </w:r>
      <w:r w:rsidRPr="004B418E">
        <w:t xml:space="preserve">on </w:t>
      </w:r>
      <w:r>
        <w:t xml:space="preserve">general </w:t>
      </w:r>
      <w:r w:rsidRPr="004B418E">
        <w:t xml:space="preserve">CRPD implementation. </w:t>
      </w:r>
      <w:r>
        <w:t xml:space="preserve">This </w:t>
      </w:r>
      <w:r w:rsidR="00CA3998">
        <w:t xml:space="preserve">funding </w:t>
      </w:r>
      <w:r>
        <w:t>may include</w:t>
      </w:r>
      <w:r w:rsidR="00CA3998">
        <w:t>,</w:t>
      </w:r>
      <w:r>
        <w:t xml:space="preserve"> but does not prioritize</w:t>
      </w:r>
      <w:r w:rsidR="00CA3998">
        <w:t>,</w:t>
      </w:r>
      <w:r>
        <w:t xml:space="preserve"> </w:t>
      </w:r>
      <w:r w:rsidRPr="004B418E">
        <w:t>legal capacity</w:t>
      </w:r>
      <w:r>
        <w:t>,</w:t>
      </w:r>
      <w:r w:rsidRPr="004B418E">
        <w:t xml:space="preserve"> as is the case t</w:t>
      </w:r>
      <w:r>
        <w:t>he Disability Rights Fund</w:t>
      </w:r>
      <w:r w:rsidR="00CA3998">
        <w:t>, a</w:t>
      </w:r>
      <w:r w:rsidRPr="004B418E">
        <w:t xml:space="preserve"> donor </w:t>
      </w:r>
      <w:r w:rsidR="00CA3998">
        <w:t>collaborative</w:t>
      </w:r>
      <w:r w:rsidR="00CA3998" w:rsidRPr="004B418E">
        <w:t xml:space="preserve"> </w:t>
      </w:r>
      <w:r w:rsidR="00052689">
        <w:t xml:space="preserve">which we support for </w:t>
      </w:r>
      <w:r w:rsidR="00C15042">
        <w:t xml:space="preserve">its important work seeding the field. </w:t>
      </w:r>
      <w:r w:rsidR="00052689">
        <w:t xml:space="preserve"> </w:t>
      </w:r>
      <w:r w:rsidRPr="004B418E">
        <w:t xml:space="preserve">A contributing factor may be the complexity of the issue. </w:t>
      </w:r>
      <w:r>
        <w:t xml:space="preserve">Nuanced legal knowledge </w:t>
      </w:r>
      <w:r w:rsidR="00672FD6">
        <w:t xml:space="preserve">and strong links with the disability movement are </w:t>
      </w:r>
      <w:r>
        <w:t xml:space="preserve">necessary to </w:t>
      </w:r>
      <w:r w:rsidR="00672FD6">
        <w:t>steer advocacy in line with Article 12.</w:t>
      </w:r>
      <w:r w:rsidR="0007017C">
        <w:t xml:space="preserve"> </w:t>
      </w:r>
      <w:r>
        <w:t xml:space="preserve">That said, we are beginning to see pockets of interest among some donors. Interestingly, legal capacity has figured in the European Commission’s funding under its </w:t>
      </w:r>
      <w:r w:rsidR="00236ABD">
        <w:t>Directorate</w:t>
      </w:r>
      <w:r w:rsidR="00571429">
        <w:t xml:space="preserve"> </w:t>
      </w:r>
      <w:r w:rsidR="00236ABD">
        <w:t xml:space="preserve">General for </w:t>
      </w:r>
      <w:r>
        <w:t xml:space="preserve">Justice and </w:t>
      </w:r>
      <w:r w:rsidR="007703A4">
        <w:t xml:space="preserve">enlargement </w:t>
      </w:r>
      <w:r>
        <w:t xml:space="preserve">process </w:t>
      </w:r>
      <w:r w:rsidR="0020616B">
        <w:t xml:space="preserve">by </w:t>
      </w:r>
      <w:r>
        <w:t>which countries join the European Union</w:t>
      </w:r>
      <w:r w:rsidR="00DA1E20">
        <w:t xml:space="preserve">, possibly </w:t>
      </w:r>
      <w:r w:rsidR="0020616B">
        <w:t xml:space="preserve">drawing from </w:t>
      </w:r>
      <w:r w:rsidR="00AA2A5A">
        <w:t xml:space="preserve">the </w:t>
      </w:r>
      <w:r w:rsidR="0020616B">
        <w:t xml:space="preserve">emphasis on legal capacity by the EU high </w:t>
      </w:r>
      <w:r w:rsidR="00DA1E20">
        <w:t>level group</w:t>
      </w:r>
      <w:r w:rsidR="00AA2A5A">
        <w:t xml:space="preserve"> </w:t>
      </w:r>
      <w:r w:rsidR="007D0127">
        <w:t>on disability</w:t>
      </w:r>
      <w:r>
        <w:t xml:space="preserve">. </w:t>
      </w:r>
      <w:r w:rsidR="0007017C">
        <w:t>W</w:t>
      </w:r>
      <w:r>
        <w:t xml:space="preserve">e know of several donors funding work </w:t>
      </w:r>
      <w:r w:rsidR="0020616B">
        <w:t>in the UK (Nuffield and Wellcome Trust)</w:t>
      </w:r>
      <w:r>
        <w:t>.</w:t>
      </w:r>
    </w:p>
    <w:p w:rsidR="002310D3" w:rsidRPr="00EC615D" w:rsidRDefault="002310D3" w:rsidP="009415DC">
      <w:pPr>
        <w:ind w:right="-334"/>
        <w:rPr>
          <w:b/>
          <w:u w:val="single"/>
        </w:rPr>
      </w:pPr>
      <w:r w:rsidRPr="00EC615D">
        <w:rPr>
          <w:b/>
          <w:u w:val="single"/>
        </w:rPr>
        <w:t>Key accomplishments</w:t>
      </w:r>
    </w:p>
    <w:p w:rsidR="005D2A2B" w:rsidRPr="00EC615D" w:rsidRDefault="005D2A2B" w:rsidP="009415DC">
      <w:pPr>
        <w:pStyle w:val="ListParagraph"/>
        <w:numPr>
          <w:ilvl w:val="0"/>
          <w:numId w:val="25"/>
        </w:numPr>
        <w:ind w:right="-334"/>
        <w:rPr>
          <w:b/>
          <w:bCs/>
        </w:rPr>
      </w:pPr>
      <w:r w:rsidRPr="00EC615D">
        <w:rPr>
          <w:b/>
          <w:bCs/>
        </w:rPr>
        <w:t xml:space="preserve">Legal capacity </w:t>
      </w:r>
      <w:r w:rsidR="0020616B">
        <w:rPr>
          <w:b/>
          <w:bCs/>
        </w:rPr>
        <w:t xml:space="preserve">removed from </w:t>
      </w:r>
      <w:r w:rsidRPr="00EC615D">
        <w:rPr>
          <w:b/>
          <w:bCs/>
        </w:rPr>
        <w:t>the realm of “protection” alone and recognized as a core human right</w:t>
      </w:r>
      <w:r w:rsidR="00A805A3" w:rsidRPr="00EC615D">
        <w:rPr>
          <w:b/>
          <w:bCs/>
        </w:rPr>
        <w:t>:</w:t>
      </w:r>
    </w:p>
    <w:p w:rsidR="00E62F6D" w:rsidRDefault="002310D3" w:rsidP="009415DC">
      <w:pPr>
        <w:ind w:right="-334"/>
      </w:pPr>
      <w:r>
        <w:t xml:space="preserve">As recently as five years ago, negating legal personhood as a response to </w:t>
      </w:r>
      <w:r w:rsidR="005D2A2B">
        <w:t xml:space="preserve">the need for support </w:t>
      </w:r>
      <w:r>
        <w:t xml:space="preserve">was an undisputed fact of life. Demands by disability communities for reform went only </w:t>
      </w:r>
      <w:r w:rsidR="00382835">
        <w:t xml:space="preserve">so </w:t>
      </w:r>
      <w:r>
        <w:t xml:space="preserve">far as calling </w:t>
      </w:r>
      <w:r w:rsidR="00382835">
        <w:t xml:space="preserve">for a </w:t>
      </w:r>
      <w:r>
        <w:t>purg</w:t>
      </w:r>
      <w:r w:rsidR="00382835">
        <w:t>ing</w:t>
      </w:r>
      <w:r>
        <w:t xml:space="preserve"> </w:t>
      </w:r>
      <w:r w:rsidR="00382835">
        <w:t xml:space="preserve">of corruption and abuse from </w:t>
      </w:r>
      <w:r>
        <w:t>guardianship system</w:t>
      </w:r>
      <w:r w:rsidR="00382835">
        <w:t>s</w:t>
      </w:r>
      <w:r>
        <w:t xml:space="preserve">. No tools existed for capturing how vast numbers of people were </w:t>
      </w:r>
      <w:r w:rsidR="006D2811">
        <w:t xml:space="preserve">marginalized and </w:t>
      </w:r>
      <w:r>
        <w:t xml:space="preserve">made </w:t>
      </w:r>
      <w:r w:rsidR="006D2811">
        <w:t xml:space="preserve">unequal </w:t>
      </w:r>
      <w:r>
        <w:t>before the law through legal, social, community</w:t>
      </w:r>
      <w:r w:rsidR="0040227C">
        <w:t>,</w:t>
      </w:r>
      <w:r>
        <w:t xml:space="preserve"> and family practices. The adoption of the CRPD was a milestone in framing the human right imperiled by these laws and practices</w:t>
      </w:r>
      <w:r w:rsidR="005D2A2B">
        <w:t xml:space="preserve">, but </w:t>
      </w:r>
      <w:r>
        <w:t>only through education, advocacy</w:t>
      </w:r>
      <w:r w:rsidR="0040227C">
        <w:t>,</w:t>
      </w:r>
      <w:r>
        <w:t xml:space="preserve"> and groundwork, in which the Human Rights Initiative’s conceptual, technical</w:t>
      </w:r>
      <w:r w:rsidR="0040227C">
        <w:t>,</w:t>
      </w:r>
      <w:r>
        <w:t xml:space="preserve"> and convening support played a significant role, </w:t>
      </w:r>
      <w:r w:rsidR="005D2A2B">
        <w:t xml:space="preserve">has </w:t>
      </w:r>
      <w:r w:rsidR="00643EDE">
        <w:t>the turnaround from protection to rights occurred</w:t>
      </w:r>
      <w:r w:rsidR="005337CE">
        <w:t>, breaking through centuries-old assumptions</w:t>
      </w:r>
      <w:r w:rsidR="00643EDE">
        <w:t xml:space="preserve">. </w:t>
      </w:r>
      <w:r>
        <w:t xml:space="preserve">Disability communities, even </w:t>
      </w:r>
      <w:r w:rsidR="00362EF7">
        <w:t xml:space="preserve">those working in </w:t>
      </w:r>
      <w:r>
        <w:t>challenging contexts</w:t>
      </w:r>
      <w:r w:rsidR="00362EF7">
        <w:t xml:space="preserve"> where they</w:t>
      </w:r>
      <w:r>
        <w:t xml:space="preserve"> lack</w:t>
      </w:r>
      <w:r w:rsidR="0020616B">
        <w:t xml:space="preserve"> </w:t>
      </w:r>
      <w:r>
        <w:t xml:space="preserve">a net of social services (Kenya or Zambia) or </w:t>
      </w:r>
      <w:r w:rsidR="00DF232D">
        <w:t xml:space="preserve">where the state </w:t>
      </w:r>
      <w:r>
        <w:t>infring</w:t>
      </w:r>
      <w:r w:rsidR="00DF232D">
        <w:t xml:space="preserve">es drastically </w:t>
      </w:r>
      <w:r w:rsidR="00B239F8">
        <w:t xml:space="preserve">on </w:t>
      </w:r>
      <w:r w:rsidR="00362EF7">
        <w:t xml:space="preserve">their </w:t>
      </w:r>
      <w:r w:rsidR="00B239F8">
        <w:t>autonomy (China)</w:t>
      </w:r>
      <w:r w:rsidR="00362EF7">
        <w:t>, now</w:t>
      </w:r>
      <w:r>
        <w:t xml:space="preserve"> call for upholding </w:t>
      </w:r>
      <w:r w:rsidR="00643EDE">
        <w:t>this right</w:t>
      </w:r>
      <w:r>
        <w:t>.</w:t>
      </w:r>
      <w:r w:rsidR="005337CE" w:rsidRPr="005337CE">
        <w:rPr>
          <w:noProof/>
        </w:rPr>
        <w:t xml:space="preserve"> </w:t>
      </w:r>
      <w:r w:rsidR="005337CE">
        <w:rPr>
          <w:noProof/>
        </w:rPr>
        <w:t>Self-advocacy groups of people with intellectual or psychosocial disabilities, for whom this cause is deeply personal and profoundly liberating</w:t>
      </w:r>
      <w:r w:rsidR="005337CE">
        <w:t xml:space="preserve">, are advocating for this right. </w:t>
      </w:r>
      <w:r>
        <w:t>Governments acknowledge the need to align their laws and practices accordingly</w:t>
      </w:r>
      <w:r w:rsidR="00643EDE">
        <w:t xml:space="preserve"> </w:t>
      </w:r>
      <w:r>
        <w:t xml:space="preserve">and are held accountable through reporting </w:t>
      </w:r>
      <w:r w:rsidR="00351927">
        <w:t xml:space="preserve">to </w:t>
      </w:r>
      <w:r>
        <w:t xml:space="preserve">the UN CRPD Committee and other human rights </w:t>
      </w:r>
      <w:r w:rsidR="00DF232D">
        <w:t>mechanisms</w:t>
      </w:r>
      <w:r>
        <w:t xml:space="preserve">. </w:t>
      </w:r>
    </w:p>
    <w:p w:rsidR="00A805A3" w:rsidRPr="005337CE" w:rsidRDefault="00A805A3" w:rsidP="009415DC">
      <w:pPr>
        <w:pStyle w:val="ListParagraph"/>
        <w:tabs>
          <w:tab w:val="left" w:pos="360"/>
        </w:tabs>
        <w:ind w:left="0" w:right="-334"/>
        <w:rPr>
          <w:sz w:val="2"/>
          <w:szCs w:val="2"/>
        </w:rPr>
      </w:pPr>
    </w:p>
    <w:p w:rsidR="00A805A3" w:rsidRPr="00EC615D" w:rsidRDefault="00A805A3" w:rsidP="009415DC">
      <w:pPr>
        <w:pStyle w:val="ListParagraph"/>
        <w:numPr>
          <w:ilvl w:val="0"/>
          <w:numId w:val="25"/>
        </w:numPr>
        <w:tabs>
          <w:tab w:val="left" w:pos="360"/>
        </w:tabs>
        <w:ind w:left="0" w:right="-334" w:firstLine="0"/>
        <w:rPr>
          <w:b/>
          <w:bCs/>
        </w:rPr>
      </w:pPr>
      <w:r w:rsidRPr="00EC615D">
        <w:rPr>
          <w:b/>
          <w:bCs/>
        </w:rPr>
        <w:t>New legal foundations developed for challenging the systemic denial of legal capacity:</w:t>
      </w:r>
    </w:p>
    <w:p w:rsidR="00A805A3" w:rsidRPr="00A805A3" w:rsidRDefault="00A805A3" w:rsidP="009415DC">
      <w:pPr>
        <w:pStyle w:val="ListParagraph"/>
        <w:ind w:right="-334"/>
        <w:rPr>
          <w:sz w:val="12"/>
          <w:szCs w:val="12"/>
        </w:rPr>
      </w:pPr>
    </w:p>
    <w:p w:rsidR="002310D3" w:rsidRDefault="00A805A3" w:rsidP="009415DC">
      <w:pPr>
        <w:pStyle w:val="ListParagraph"/>
        <w:tabs>
          <w:tab w:val="left" w:pos="360"/>
        </w:tabs>
        <w:ind w:left="0" w:right="-334"/>
      </w:pPr>
      <w:r>
        <w:t xml:space="preserve">Following grantees’ advocacy, the most pernicious forms of legal capacity, such as total erasure as a legal person (plenary guardianship), have been eliminated from the law books in Russia, Latvia, and Croatia. Amendments </w:t>
      </w:r>
      <w:r w:rsidR="005337CE">
        <w:t xml:space="preserve">upholding legal capacity </w:t>
      </w:r>
      <w:r>
        <w:t>have been proposed in civil code reform in Argentina, Mexico, and Peru. M</w:t>
      </w:r>
      <w:r w:rsidR="002310D3">
        <w:t>echanism</w:t>
      </w:r>
      <w:r>
        <w:t>s</w:t>
      </w:r>
      <w:r w:rsidR="002310D3">
        <w:t xml:space="preserve"> of supported decision-making </w:t>
      </w:r>
      <w:r>
        <w:t xml:space="preserve">have been </w:t>
      </w:r>
      <w:r w:rsidR="002310D3">
        <w:t xml:space="preserve">recognized </w:t>
      </w:r>
      <w:r>
        <w:t xml:space="preserve">by </w:t>
      </w:r>
      <w:r w:rsidR="002310D3">
        <w:t>law in the Czech Republic and in the</w:t>
      </w:r>
      <w:r w:rsidR="0020616B">
        <w:t xml:space="preserve"> draft</w:t>
      </w:r>
      <w:r w:rsidR="00CC37B1">
        <w:t xml:space="preserve"> </w:t>
      </w:r>
      <w:r w:rsidR="0020616B">
        <w:t>m</w:t>
      </w:r>
      <w:r w:rsidR="002310D3">
        <w:t>e</w:t>
      </w:r>
      <w:r>
        <w:t xml:space="preserve">ntal health bill in Zambia. </w:t>
      </w:r>
      <w:r w:rsidR="002310D3">
        <w:t>In Bulgaria, where the reform process</w:t>
      </w:r>
      <w:r w:rsidR="00662FE8">
        <w:t xml:space="preserve"> </w:t>
      </w:r>
      <w:r w:rsidR="002310D3">
        <w:t xml:space="preserve">includes advocating with the legal profession, judges have begun rejecting applications for guardianship basing their decisions on CRPD Article 12. In addition to precedent-setting decisions of the European Court of Human Rights, jurisprudence is beginning to emerge through cases </w:t>
      </w:r>
      <w:r w:rsidR="0020616B">
        <w:t xml:space="preserve">litigated </w:t>
      </w:r>
      <w:r w:rsidR="002310D3">
        <w:t xml:space="preserve">by grantees in Mexico, the Czech Republic, and Latvia. The UN CRPD Committee’s recent general comment on Article 12 will help set a standard for the </w:t>
      </w:r>
      <w:r w:rsidR="009D3D58">
        <w:t>new paradigm</w:t>
      </w:r>
      <w:r w:rsidR="002310D3">
        <w:t xml:space="preserve">. </w:t>
      </w:r>
    </w:p>
    <w:p w:rsidR="00A805A3" w:rsidRPr="005337CE" w:rsidRDefault="00A805A3" w:rsidP="009415DC">
      <w:pPr>
        <w:pStyle w:val="ListParagraph"/>
        <w:tabs>
          <w:tab w:val="left" w:pos="360"/>
        </w:tabs>
        <w:ind w:left="0" w:right="-334"/>
        <w:rPr>
          <w:sz w:val="12"/>
          <w:szCs w:val="12"/>
        </w:rPr>
      </w:pPr>
    </w:p>
    <w:p w:rsidR="00A805A3" w:rsidRPr="00EC615D" w:rsidRDefault="00F45B6A" w:rsidP="009415DC">
      <w:pPr>
        <w:pStyle w:val="ListParagraph"/>
        <w:numPr>
          <w:ilvl w:val="0"/>
          <w:numId w:val="25"/>
        </w:numPr>
        <w:tabs>
          <w:tab w:val="left" w:pos="360"/>
        </w:tabs>
        <w:ind w:left="0" w:right="-334" w:firstLine="0"/>
        <w:rPr>
          <w:b/>
          <w:bCs/>
        </w:rPr>
      </w:pPr>
      <w:r>
        <w:rPr>
          <w:b/>
          <w:bCs/>
          <w:noProof/>
        </w:rPr>
        <w:t>S</w:t>
      </w:r>
      <w:r w:rsidR="00A805A3" w:rsidRPr="00EC615D">
        <w:rPr>
          <w:b/>
          <w:bCs/>
          <w:noProof/>
        </w:rPr>
        <w:t>upported decision-</w:t>
      </w:r>
      <w:r w:rsidR="005337CE" w:rsidRPr="00EC615D">
        <w:rPr>
          <w:b/>
          <w:bCs/>
          <w:noProof/>
        </w:rPr>
        <w:t xml:space="preserve">making </w:t>
      </w:r>
      <w:r>
        <w:rPr>
          <w:b/>
          <w:bCs/>
          <w:noProof/>
        </w:rPr>
        <w:t xml:space="preserve">models </w:t>
      </w:r>
      <w:r w:rsidR="005337CE" w:rsidRPr="00EC615D">
        <w:rPr>
          <w:b/>
          <w:bCs/>
          <w:noProof/>
        </w:rPr>
        <w:t>demonstrate</w:t>
      </w:r>
      <w:r w:rsidR="00A805A3" w:rsidRPr="00EC615D">
        <w:rPr>
          <w:b/>
          <w:bCs/>
          <w:noProof/>
        </w:rPr>
        <w:t xml:space="preserve"> </w:t>
      </w:r>
      <w:r>
        <w:rPr>
          <w:b/>
          <w:bCs/>
          <w:noProof/>
        </w:rPr>
        <w:t>how</w:t>
      </w:r>
      <w:r w:rsidR="00A805A3" w:rsidRPr="00EC615D">
        <w:rPr>
          <w:b/>
          <w:bCs/>
          <w:noProof/>
        </w:rPr>
        <w:t xml:space="preserve"> people can be supported to have status and </w:t>
      </w:r>
      <w:r w:rsidR="0020616B">
        <w:rPr>
          <w:b/>
          <w:bCs/>
          <w:noProof/>
        </w:rPr>
        <w:t xml:space="preserve">control </w:t>
      </w:r>
      <w:r w:rsidR="00A805A3" w:rsidRPr="00EC615D">
        <w:rPr>
          <w:b/>
          <w:bCs/>
          <w:noProof/>
        </w:rPr>
        <w:t xml:space="preserve">over </w:t>
      </w:r>
      <w:r>
        <w:rPr>
          <w:b/>
          <w:bCs/>
          <w:noProof/>
        </w:rPr>
        <w:t>their lives</w:t>
      </w:r>
      <w:r w:rsidR="0020616B">
        <w:rPr>
          <w:b/>
          <w:bCs/>
          <w:noProof/>
        </w:rPr>
        <w:t xml:space="preserve">, property, financial </w:t>
      </w:r>
      <w:r w:rsidR="00A805A3" w:rsidRPr="00EC615D">
        <w:rPr>
          <w:b/>
          <w:bCs/>
          <w:noProof/>
        </w:rPr>
        <w:t>and health care decisions</w:t>
      </w:r>
      <w:r w:rsidR="005337CE" w:rsidRPr="00EC615D">
        <w:rPr>
          <w:b/>
          <w:bCs/>
          <w:noProof/>
        </w:rPr>
        <w:t>:</w:t>
      </w:r>
    </w:p>
    <w:p w:rsidR="00BE649F" w:rsidRDefault="002310D3" w:rsidP="009415DC">
      <w:pPr>
        <w:ind w:right="-334"/>
      </w:pPr>
      <w:r>
        <w:t>Over the years</w:t>
      </w:r>
      <w:r w:rsidR="000B279C">
        <w:t>,</w:t>
      </w:r>
      <w:r>
        <w:t xml:space="preserve"> we actively pursued the establishment of working models for supporting individuals with significant disabilities in decision-making. These are crucial to grounding law reform</w:t>
      </w:r>
      <w:r w:rsidR="000B279C">
        <w:t xml:space="preserve"> effort</w:t>
      </w:r>
      <w:r>
        <w:t xml:space="preserve">s and </w:t>
      </w:r>
      <w:r w:rsidR="000B279C">
        <w:t xml:space="preserve">introducing </w:t>
      </w:r>
      <w:r>
        <w:t>systemic changes. Where grantees sought to promote law reform, we urged them to identify relevant partners and propose developing a model as well. We are working closely with Dr. Bach to provide technical support in the three pilot countries; models are up and running in Bulgaria and are in the</w:t>
      </w:r>
      <w:r w:rsidR="000B279C">
        <w:t xml:space="preserve"> planning</w:t>
      </w:r>
      <w:r>
        <w:t xml:space="preserve"> process in Zambia and Colombia. The most </w:t>
      </w:r>
      <w:r w:rsidR="00556328">
        <w:t xml:space="preserve">established </w:t>
      </w:r>
      <w:r>
        <w:t>model we support</w:t>
      </w:r>
      <w:r w:rsidR="00A22743">
        <w:t>,</w:t>
      </w:r>
      <w:r>
        <w:t xml:space="preserve"> in the Czech Republic</w:t>
      </w:r>
      <w:r w:rsidR="00A22743">
        <w:t>,</w:t>
      </w:r>
      <w:r>
        <w:t xml:space="preserve"> is now approaching the end of its third year. In Kenya</w:t>
      </w:r>
      <w:r w:rsidR="000B279C">
        <w:t>,</w:t>
      </w:r>
      <w:r>
        <w:t xml:space="preserve"> </w:t>
      </w:r>
      <w:r w:rsidR="00855F4F">
        <w:t xml:space="preserve">we </w:t>
      </w:r>
      <w:r w:rsidR="00BE649F">
        <w:t>encouraged</w:t>
      </w:r>
      <w:r>
        <w:t xml:space="preserve"> grantees to develop a model applicable to individuals with psychosocial disabilities to complement </w:t>
      </w:r>
      <w:r w:rsidR="00BE649F">
        <w:t xml:space="preserve">an existing one </w:t>
      </w:r>
      <w:r>
        <w:t xml:space="preserve">for </w:t>
      </w:r>
      <w:r w:rsidR="00296B79">
        <w:t xml:space="preserve">persons </w:t>
      </w:r>
      <w:r>
        <w:t>with intellectual disabilities. Following consultations with partners</w:t>
      </w:r>
      <w:r w:rsidR="007E19E3">
        <w:t>,</w:t>
      </w:r>
      <w:r>
        <w:t xml:space="preserve"> we expect proposals which introduce such models in Colombia and Argentina</w:t>
      </w:r>
      <w:r w:rsidR="007E19E3">
        <w:t>, and a project to map existing supports in Peru</w:t>
      </w:r>
      <w:r>
        <w:t xml:space="preserve">. </w:t>
      </w:r>
      <w:r w:rsidR="00BE649F">
        <w:t xml:space="preserve">We are able to leverage the learning from the more veteran projects by sharing materials </w:t>
      </w:r>
      <w:r w:rsidR="00C15042">
        <w:t>developed in Bulgaria, the Czech Republic</w:t>
      </w:r>
      <w:r w:rsidR="00A3279A">
        <w:t>,</w:t>
      </w:r>
      <w:r w:rsidR="00C15042">
        <w:t xml:space="preserve"> and Kenya </w:t>
      </w:r>
      <w:r w:rsidR="00BE649F">
        <w:t>with other partners</w:t>
      </w:r>
      <w:r w:rsidR="001C15B1">
        <w:t xml:space="preserve">, thereby also filling in some of the need for close technical support </w:t>
      </w:r>
      <w:r w:rsidR="004E2780">
        <w:t>such as that provided by Dr. Bach, which due to the scarcity of experts and resource limitations we cannot provide to each project.</w:t>
      </w:r>
    </w:p>
    <w:p w:rsidR="005337CE" w:rsidRPr="0052773C" w:rsidRDefault="00AC58D4" w:rsidP="009415DC">
      <w:pPr>
        <w:pStyle w:val="ListParagraph"/>
        <w:numPr>
          <w:ilvl w:val="0"/>
          <w:numId w:val="27"/>
        </w:numPr>
        <w:ind w:left="360" w:right="-334"/>
        <w:rPr>
          <w:rFonts w:cstheme="minorHAnsi"/>
          <w:b/>
          <w:bCs/>
        </w:rPr>
      </w:pPr>
      <w:r w:rsidRPr="0052773C">
        <w:rPr>
          <w:rFonts w:cstheme="minorHAnsi"/>
          <w:b/>
          <w:bCs/>
        </w:rPr>
        <w:t>R</w:t>
      </w:r>
      <w:r w:rsidR="005337CE" w:rsidRPr="0052773C">
        <w:rPr>
          <w:rFonts w:cstheme="minorHAnsi"/>
          <w:b/>
          <w:bCs/>
        </w:rPr>
        <w:t xml:space="preserve">egional and international </w:t>
      </w:r>
      <w:r w:rsidRPr="0052773C">
        <w:rPr>
          <w:rFonts w:cstheme="minorHAnsi"/>
          <w:b/>
          <w:bCs/>
        </w:rPr>
        <w:t xml:space="preserve">civil society </w:t>
      </w:r>
      <w:r w:rsidR="005337CE" w:rsidRPr="0052773C">
        <w:rPr>
          <w:rFonts w:cstheme="minorHAnsi"/>
          <w:b/>
          <w:bCs/>
        </w:rPr>
        <w:t xml:space="preserve">networks </w:t>
      </w:r>
      <w:r w:rsidRPr="0052773C">
        <w:rPr>
          <w:rFonts w:cstheme="minorHAnsi"/>
          <w:b/>
          <w:bCs/>
        </w:rPr>
        <w:t>consolidated to share and increase knowledge:</w:t>
      </w:r>
    </w:p>
    <w:p w:rsidR="002310D3" w:rsidRPr="005337CE" w:rsidRDefault="002310D3" w:rsidP="009415DC">
      <w:pPr>
        <w:ind w:right="-334"/>
        <w:rPr>
          <w:rFonts w:cstheme="minorHAnsi"/>
        </w:rPr>
      </w:pPr>
      <w:r>
        <w:t>Recognizing that building a web of actors and experts across fields, countries</w:t>
      </w:r>
      <w:r w:rsidR="009B1FFF">
        <w:t>,</w:t>
      </w:r>
      <w:r>
        <w:t xml:space="preserve"> and regions is an integral part of promoting complex national-level reforms, we </w:t>
      </w:r>
      <w:r w:rsidR="005337CE">
        <w:t xml:space="preserve">have </w:t>
      </w:r>
      <w:r>
        <w:t>conven</w:t>
      </w:r>
      <w:r w:rsidR="005337CE">
        <w:t>ed</w:t>
      </w:r>
      <w:r>
        <w:t xml:space="preserve"> communities of practice in Central and Eastern Europe, Latin America</w:t>
      </w:r>
      <w:r w:rsidR="009B1FFF">
        <w:t>,</w:t>
      </w:r>
      <w:r>
        <w:t xml:space="preserve"> and Africa. These networks </w:t>
      </w:r>
      <w:r w:rsidR="00556328">
        <w:t>allow for</w:t>
      </w:r>
      <w:r w:rsidRPr="005337CE">
        <w:rPr>
          <w:rFonts w:cstheme="minorHAnsi"/>
        </w:rPr>
        <w:t xml:space="preserve"> </w:t>
      </w:r>
      <w:r w:rsidR="0020616B">
        <w:rPr>
          <w:rFonts w:cstheme="minorHAnsi"/>
        </w:rPr>
        <w:t xml:space="preserve">(at this point) </w:t>
      </w:r>
      <w:r w:rsidRPr="005337CE">
        <w:rPr>
          <w:rFonts w:cstheme="minorHAnsi"/>
        </w:rPr>
        <w:t>regional learning through peer visits between countries and v</w:t>
      </w:r>
      <w:r w:rsidR="00BE649F">
        <w:rPr>
          <w:rFonts w:cstheme="minorHAnsi"/>
        </w:rPr>
        <w:t>irtual and in-person convenings.</w:t>
      </w:r>
      <w:r w:rsidR="00B56219">
        <w:rPr>
          <w:rFonts w:cstheme="minorHAnsi"/>
        </w:rPr>
        <w:t xml:space="preserve"> </w:t>
      </w:r>
    </w:p>
    <w:p w:rsidR="002310D3" w:rsidRPr="00EC615D" w:rsidRDefault="002310D3" w:rsidP="009415DC">
      <w:pPr>
        <w:shd w:val="clear" w:color="auto" w:fill="FFFFFF"/>
        <w:ind w:right="-334"/>
        <w:rPr>
          <w:b/>
          <w:bCs/>
          <w:u w:val="single"/>
        </w:rPr>
      </w:pPr>
      <w:r w:rsidRPr="00EC615D">
        <w:rPr>
          <w:b/>
          <w:bCs/>
          <w:u w:val="single"/>
        </w:rPr>
        <w:t xml:space="preserve">Lessons learned </w:t>
      </w:r>
    </w:p>
    <w:p w:rsidR="002310D3" w:rsidRDefault="002310D3" w:rsidP="009415DC">
      <w:pPr>
        <w:shd w:val="clear" w:color="auto" w:fill="FFFFFF"/>
        <w:ind w:right="-334"/>
        <w:rPr>
          <w:rStyle w:val="SubtleEmphasis"/>
          <w:i w:val="0"/>
          <w:iCs w:val="0"/>
          <w:color w:val="auto"/>
        </w:rPr>
      </w:pPr>
      <w:r>
        <w:rPr>
          <w:rStyle w:val="SubtleEmphasis"/>
          <w:i w:val="0"/>
          <w:iCs w:val="0"/>
          <w:color w:val="auto"/>
        </w:rPr>
        <w:t xml:space="preserve">We have found it helpful to focus on one positive lesson (what should be done) and one negative lesson (what should not be done) gleaned from our work to date. </w:t>
      </w:r>
    </w:p>
    <w:p w:rsidR="002310D3" w:rsidRDefault="00D06875" w:rsidP="009415DC">
      <w:pPr>
        <w:shd w:val="clear" w:color="auto" w:fill="FFFFFF"/>
        <w:ind w:right="-334"/>
        <w:rPr>
          <w:rStyle w:val="SubtleEmphasis"/>
          <w:i w:val="0"/>
          <w:iCs w:val="0"/>
          <w:color w:val="auto"/>
        </w:rPr>
      </w:pPr>
      <w:r w:rsidRPr="00EC615D">
        <w:rPr>
          <w:rStyle w:val="SubtleEmphasis"/>
          <w:b/>
          <w:bCs/>
          <w:i w:val="0"/>
          <w:iCs w:val="0"/>
          <w:color w:val="auto"/>
        </w:rPr>
        <w:t>A positive lesson we learned is the need to steer national-level projects toward an aligned multi-faceted reform process.</w:t>
      </w:r>
      <w:r>
        <w:rPr>
          <w:rStyle w:val="SubtleEmphasis"/>
          <w:i w:val="0"/>
          <w:iCs w:val="0"/>
          <w:color w:val="auto"/>
        </w:rPr>
        <w:t xml:space="preserve"> </w:t>
      </w:r>
      <w:r w:rsidR="002310D3">
        <w:rPr>
          <w:rStyle w:val="SubtleEmphasis"/>
          <w:i w:val="0"/>
          <w:iCs w:val="0"/>
          <w:color w:val="auto"/>
        </w:rPr>
        <w:t>In the first year of our support to the Bulgarian Center for Not-for-Profit Law, the Center worked alone</w:t>
      </w:r>
      <w:r w:rsidR="000866C2">
        <w:rPr>
          <w:rStyle w:val="SubtleEmphasis"/>
          <w:i w:val="0"/>
          <w:iCs w:val="0"/>
          <w:color w:val="auto"/>
        </w:rPr>
        <w:t xml:space="preserve">, primarily through a </w:t>
      </w:r>
      <w:r>
        <w:rPr>
          <w:rStyle w:val="SubtleEmphasis"/>
          <w:i w:val="0"/>
          <w:iCs w:val="0"/>
          <w:color w:val="auto"/>
        </w:rPr>
        <w:t xml:space="preserve">legislative </w:t>
      </w:r>
      <w:r w:rsidR="000866C2">
        <w:rPr>
          <w:rStyle w:val="SubtleEmphasis"/>
          <w:i w:val="0"/>
          <w:iCs w:val="0"/>
          <w:color w:val="auto"/>
        </w:rPr>
        <w:t>effort</w:t>
      </w:r>
      <w:r w:rsidR="002310D3">
        <w:rPr>
          <w:rStyle w:val="SubtleEmphasis"/>
          <w:i w:val="0"/>
          <w:iCs w:val="0"/>
          <w:color w:val="auto"/>
        </w:rPr>
        <w:t xml:space="preserve">. It was only into the second year, after connecting the Center </w:t>
      </w:r>
      <w:r w:rsidR="000866C2">
        <w:rPr>
          <w:rStyle w:val="SubtleEmphasis"/>
          <w:i w:val="0"/>
          <w:iCs w:val="0"/>
          <w:color w:val="auto"/>
        </w:rPr>
        <w:t xml:space="preserve">with </w:t>
      </w:r>
      <w:r w:rsidR="00A22743">
        <w:rPr>
          <w:rStyle w:val="SubtleEmphasis"/>
          <w:i w:val="0"/>
          <w:iCs w:val="0"/>
          <w:color w:val="auto"/>
        </w:rPr>
        <w:t>Dr. Bach</w:t>
      </w:r>
      <w:r w:rsidR="000B3F58">
        <w:rPr>
          <w:rStyle w:val="SubtleEmphasis"/>
          <w:i w:val="0"/>
          <w:iCs w:val="0"/>
          <w:color w:val="auto"/>
        </w:rPr>
        <w:t xml:space="preserve"> in order to infuse the project with</w:t>
      </w:r>
      <w:r w:rsidR="008763B7">
        <w:rPr>
          <w:rStyle w:val="SubtleEmphasis"/>
          <w:i w:val="0"/>
          <w:iCs w:val="0"/>
          <w:color w:val="auto"/>
        </w:rPr>
        <w:t xml:space="preserve"> more intentionality</w:t>
      </w:r>
      <w:r w:rsidR="00A22743">
        <w:rPr>
          <w:rStyle w:val="SubtleEmphasis"/>
          <w:i w:val="0"/>
          <w:iCs w:val="0"/>
          <w:color w:val="auto"/>
        </w:rPr>
        <w:t xml:space="preserve">, </w:t>
      </w:r>
      <w:r w:rsidR="002310D3">
        <w:rPr>
          <w:rStyle w:val="SubtleEmphasis"/>
          <w:i w:val="0"/>
          <w:iCs w:val="0"/>
          <w:color w:val="auto"/>
        </w:rPr>
        <w:t xml:space="preserve">that the group mapped out the </w:t>
      </w:r>
      <w:r w:rsidR="00D738CD">
        <w:rPr>
          <w:rStyle w:val="SubtleEmphasis"/>
          <w:i w:val="0"/>
          <w:iCs w:val="0"/>
          <w:color w:val="auto"/>
        </w:rPr>
        <w:t xml:space="preserve">full range of </w:t>
      </w:r>
      <w:r w:rsidR="002310D3">
        <w:rPr>
          <w:rStyle w:val="SubtleEmphasis"/>
          <w:i w:val="0"/>
          <w:iCs w:val="0"/>
          <w:color w:val="auto"/>
        </w:rPr>
        <w:t xml:space="preserve">required changes </w:t>
      </w:r>
      <w:r w:rsidR="00D738CD">
        <w:rPr>
          <w:rStyle w:val="SubtleEmphasis"/>
          <w:i w:val="0"/>
          <w:iCs w:val="0"/>
          <w:color w:val="auto"/>
        </w:rPr>
        <w:t>i</w:t>
      </w:r>
      <w:r w:rsidR="002310D3">
        <w:rPr>
          <w:rStyle w:val="SubtleEmphasis"/>
          <w:i w:val="0"/>
          <w:iCs w:val="0"/>
          <w:color w:val="auto"/>
        </w:rPr>
        <w:t>n legislat</w:t>
      </w:r>
      <w:r w:rsidR="00D738CD">
        <w:rPr>
          <w:rStyle w:val="SubtleEmphasis"/>
          <w:i w:val="0"/>
          <w:iCs w:val="0"/>
          <w:color w:val="auto"/>
        </w:rPr>
        <w:t>ion</w:t>
      </w:r>
      <w:r w:rsidR="002310D3">
        <w:rPr>
          <w:rStyle w:val="SubtleEmphasis"/>
          <w:i w:val="0"/>
          <w:iCs w:val="0"/>
          <w:color w:val="auto"/>
        </w:rPr>
        <w:t>, policy, practice, advocacy, service provision, and</w:t>
      </w:r>
      <w:r w:rsidR="00D738CD">
        <w:rPr>
          <w:rStyle w:val="SubtleEmphasis"/>
          <w:i w:val="0"/>
          <w:iCs w:val="0"/>
          <w:color w:val="auto"/>
        </w:rPr>
        <w:t xml:space="preserve"> as well as the need to raise</w:t>
      </w:r>
      <w:r w:rsidR="002310D3">
        <w:rPr>
          <w:rStyle w:val="SubtleEmphasis"/>
          <w:i w:val="0"/>
          <w:iCs w:val="0"/>
          <w:color w:val="auto"/>
        </w:rPr>
        <w:t xml:space="preserve"> public awareness . Only through this process did the prospect of creating a model </w:t>
      </w:r>
      <w:r w:rsidR="00E3012E">
        <w:rPr>
          <w:rStyle w:val="SubtleEmphasis"/>
          <w:i w:val="0"/>
          <w:iCs w:val="0"/>
          <w:color w:val="auto"/>
        </w:rPr>
        <w:t xml:space="preserve">of </w:t>
      </w:r>
      <w:r w:rsidR="002310D3">
        <w:rPr>
          <w:rStyle w:val="SubtleEmphasis"/>
          <w:i w:val="0"/>
          <w:iCs w:val="0"/>
          <w:color w:val="auto"/>
        </w:rPr>
        <w:t>supported decision-making</w:t>
      </w:r>
      <w:r w:rsidR="00736FDA">
        <w:rPr>
          <w:rStyle w:val="SubtleEmphasis"/>
          <w:i w:val="0"/>
          <w:iCs w:val="0"/>
          <w:color w:val="auto"/>
        </w:rPr>
        <w:t xml:space="preserve"> </w:t>
      </w:r>
      <w:r w:rsidR="00556328">
        <w:rPr>
          <w:rStyle w:val="SubtleEmphasis"/>
          <w:i w:val="0"/>
          <w:iCs w:val="0"/>
          <w:color w:val="auto"/>
        </w:rPr>
        <w:t>emerge</w:t>
      </w:r>
      <w:r w:rsidR="002310D3">
        <w:rPr>
          <w:rStyle w:val="SubtleEmphasis"/>
          <w:i w:val="0"/>
          <w:iCs w:val="0"/>
          <w:color w:val="auto"/>
        </w:rPr>
        <w:t xml:space="preserve">. Our </w:t>
      </w:r>
      <w:r w:rsidR="000866C2">
        <w:rPr>
          <w:rStyle w:val="SubtleEmphasis"/>
          <w:i w:val="0"/>
          <w:iCs w:val="0"/>
          <w:color w:val="auto"/>
        </w:rPr>
        <w:t xml:space="preserve">funding </w:t>
      </w:r>
      <w:r w:rsidR="002310D3">
        <w:rPr>
          <w:rStyle w:val="SubtleEmphasis"/>
          <w:i w:val="0"/>
          <w:iCs w:val="0"/>
          <w:color w:val="auto"/>
        </w:rPr>
        <w:t xml:space="preserve">in the second and third years </w:t>
      </w:r>
      <w:r w:rsidR="000866C2">
        <w:rPr>
          <w:rStyle w:val="SubtleEmphasis"/>
          <w:i w:val="0"/>
          <w:iCs w:val="0"/>
          <w:color w:val="auto"/>
        </w:rPr>
        <w:t>support</w:t>
      </w:r>
      <w:r w:rsidR="00736FDA">
        <w:rPr>
          <w:rStyle w:val="SubtleEmphasis"/>
          <w:i w:val="0"/>
          <w:iCs w:val="0"/>
          <w:color w:val="auto"/>
        </w:rPr>
        <w:t>ed</w:t>
      </w:r>
      <w:r w:rsidR="000866C2">
        <w:rPr>
          <w:rStyle w:val="SubtleEmphasis"/>
          <w:i w:val="0"/>
          <w:iCs w:val="0"/>
          <w:color w:val="auto"/>
        </w:rPr>
        <w:t xml:space="preserve"> </w:t>
      </w:r>
      <w:r w:rsidR="002310D3">
        <w:rPr>
          <w:rStyle w:val="SubtleEmphasis"/>
          <w:i w:val="0"/>
          <w:iCs w:val="0"/>
          <w:color w:val="auto"/>
        </w:rPr>
        <w:t>a collaborati</w:t>
      </w:r>
      <w:r w:rsidR="000866C2">
        <w:rPr>
          <w:rStyle w:val="SubtleEmphasis"/>
          <w:i w:val="0"/>
          <w:iCs w:val="0"/>
          <w:color w:val="auto"/>
        </w:rPr>
        <w:t>ve effort</w:t>
      </w:r>
      <w:r w:rsidR="002310D3">
        <w:rPr>
          <w:rStyle w:val="SubtleEmphasis"/>
          <w:i w:val="0"/>
          <w:iCs w:val="0"/>
          <w:color w:val="auto"/>
        </w:rPr>
        <w:t xml:space="preserve"> among organizations from different sectors. Though not </w:t>
      </w:r>
      <w:r w:rsidR="000866C2">
        <w:rPr>
          <w:rStyle w:val="SubtleEmphasis"/>
          <w:i w:val="0"/>
          <w:iCs w:val="0"/>
          <w:color w:val="auto"/>
        </w:rPr>
        <w:t>without its</w:t>
      </w:r>
      <w:r w:rsidR="002310D3">
        <w:rPr>
          <w:rStyle w:val="SubtleEmphasis"/>
          <w:i w:val="0"/>
          <w:iCs w:val="0"/>
          <w:color w:val="auto"/>
        </w:rPr>
        <w:t xml:space="preserve"> challenges, the reform process has gained impressive traction and serves as a model for legal capacity reform. </w:t>
      </w:r>
    </w:p>
    <w:p w:rsidR="002310D3" w:rsidRDefault="002310D3" w:rsidP="009415DC">
      <w:pPr>
        <w:shd w:val="clear" w:color="auto" w:fill="FFFFFF"/>
        <w:ind w:right="-334"/>
        <w:rPr>
          <w:rStyle w:val="SubtleEmphasis"/>
          <w:i w:val="0"/>
          <w:iCs w:val="0"/>
          <w:color w:val="auto"/>
        </w:rPr>
      </w:pPr>
      <w:r>
        <w:rPr>
          <w:rStyle w:val="SubtleEmphasis"/>
          <w:i w:val="0"/>
          <w:iCs w:val="0"/>
          <w:color w:val="auto"/>
        </w:rPr>
        <w:t>All this took place as a result of a fortunate tu</w:t>
      </w:r>
      <w:r w:rsidR="00736FDA">
        <w:rPr>
          <w:rStyle w:val="SubtleEmphasis"/>
          <w:i w:val="0"/>
          <w:iCs w:val="0"/>
          <w:color w:val="auto"/>
        </w:rPr>
        <w:t>rn of events, rather than a pre</w:t>
      </w:r>
      <w:r>
        <w:rPr>
          <w:rStyle w:val="SubtleEmphasis"/>
          <w:i w:val="0"/>
          <w:iCs w:val="0"/>
          <w:color w:val="auto"/>
        </w:rPr>
        <w:t>meditated strategy</w:t>
      </w:r>
      <w:r w:rsidR="00296B79">
        <w:rPr>
          <w:rStyle w:val="SubtleEmphasis"/>
          <w:i w:val="0"/>
          <w:iCs w:val="0"/>
          <w:color w:val="auto"/>
        </w:rPr>
        <w:t xml:space="preserve"> on our part. O</w:t>
      </w:r>
      <w:r>
        <w:rPr>
          <w:rStyle w:val="SubtleEmphasis"/>
          <w:i w:val="0"/>
          <w:iCs w:val="0"/>
          <w:color w:val="auto"/>
        </w:rPr>
        <w:t>ther projects</w:t>
      </w:r>
      <w:r w:rsidR="00B47951">
        <w:rPr>
          <w:rStyle w:val="SubtleEmphasis"/>
          <w:i w:val="0"/>
          <w:iCs w:val="0"/>
          <w:color w:val="auto"/>
        </w:rPr>
        <w:t xml:space="preserve"> </w:t>
      </w:r>
      <w:r w:rsidR="00296B79">
        <w:rPr>
          <w:rStyle w:val="SubtleEmphasis"/>
          <w:i w:val="0"/>
          <w:iCs w:val="0"/>
          <w:color w:val="auto"/>
        </w:rPr>
        <w:t>we supported focusing</w:t>
      </w:r>
      <w:r w:rsidR="00065E5A">
        <w:rPr>
          <w:rStyle w:val="SubtleEmphasis"/>
          <w:i w:val="0"/>
          <w:iCs w:val="0"/>
          <w:color w:val="auto"/>
        </w:rPr>
        <w:t xml:space="preserve"> on</w:t>
      </w:r>
      <w:r>
        <w:rPr>
          <w:rStyle w:val="SubtleEmphasis"/>
          <w:i w:val="0"/>
          <w:iCs w:val="0"/>
          <w:color w:val="auto"/>
        </w:rPr>
        <w:t xml:space="preserve"> narrower slices of a reform</w:t>
      </w:r>
      <w:r w:rsidR="0042026B">
        <w:rPr>
          <w:rStyle w:val="SubtleEmphasis"/>
          <w:i w:val="0"/>
          <w:iCs w:val="0"/>
          <w:color w:val="auto"/>
        </w:rPr>
        <w:t xml:space="preserve">, </w:t>
      </w:r>
      <w:r>
        <w:rPr>
          <w:rStyle w:val="SubtleEmphasis"/>
          <w:i w:val="0"/>
          <w:iCs w:val="0"/>
          <w:color w:val="auto"/>
        </w:rPr>
        <w:t>for example legislati</w:t>
      </w:r>
      <w:r w:rsidR="00065E5A">
        <w:rPr>
          <w:rStyle w:val="SubtleEmphasis"/>
          <w:i w:val="0"/>
          <w:iCs w:val="0"/>
          <w:color w:val="auto"/>
        </w:rPr>
        <w:t>ve reform</w:t>
      </w:r>
      <w:r>
        <w:rPr>
          <w:rStyle w:val="SubtleEmphasis"/>
          <w:i w:val="0"/>
          <w:iCs w:val="0"/>
          <w:color w:val="auto"/>
        </w:rPr>
        <w:t xml:space="preserve"> </w:t>
      </w:r>
      <w:r w:rsidR="004E4646">
        <w:rPr>
          <w:rStyle w:val="SubtleEmphasis"/>
          <w:i w:val="0"/>
          <w:iCs w:val="0"/>
          <w:color w:val="auto"/>
        </w:rPr>
        <w:t xml:space="preserve">in </w:t>
      </w:r>
      <w:r>
        <w:rPr>
          <w:rStyle w:val="SubtleEmphasis"/>
          <w:i w:val="0"/>
          <w:iCs w:val="0"/>
          <w:color w:val="auto"/>
        </w:rPr>
        <w:t xml:space="preserve">Argentina </w:t>
      </w:r>
      <w:r w:rsidR="0042026B">
        <w:rPr>
          <w:rStyle w:val="SubtleEmphasis"/>
          <w:i w:val="0"/>
          <w:iCs w:val="0"/>
          <w:color w:val="auto"/>
        </w:rPr>
        <w:t xml:space="preserve">and </w:t>
      </w:r>
      <w:r>
        <w:rPr>
          <w:rStyle w:val="SubtleEmphasis"/>
          <w:i w:val="0"/>
          <w:iCs w:val="0"/>
          <w:color w:val="auto"/>
        </w:rPr>
        <w:t xml:space="preserve">developing peer support as a tool for decision-making </w:t>
      </w:r>
      <w:r w:rsidR="004E4646">
        <w:rPr>
          <w:rStyle w:val="SubtleEmphasis"/>
          <w:i w:val="0"/>
          <w:iCs w:val="0"/>
          <w:color w:val="auto"/>
        </w:rPr>
        <w:t xml:space="preserve">in </w:t>
      </w:r>
      <w:r>
        <w:rPr>
          <w:rStyle w:val="SubtleEmphasis"/>
          <w:i w:val="0"/>
          <w:iCs w:val="0"/>
          <w:color w:val="auto"/>
        </w:rPr>
        <w:t>Kenya</w:t>
      </w:r>
      <w:r w:rsidR="00662FE8">
        <w:rPr>
          <w:rStyle w:val="SubtleEmphasis"/>
          <w:i w:val="0"/>
          <w:iCs w:val="0"/>
          <w:color w:val="auto"/>
        </w:rPr>
        <w:t>,</w:t>
      </w:r>
      <w:r w:rsidR="00296B79">
        <w:rPr>
          <w:rStyle w:val="SubtleEmphasis"/>
          <w:i w:val="0"/>
          <w:iCs w:val="0"/>
          <w:color w:val="auto"/>
        </w:rPr>
        <w:t xml:space="preserve"> </w:t>
      </w:r>
      <w:r>
        <w:rPr>
          <w:rStyle w:val="SubtleEmphasis"/>
          <w:i w:val="0"/>
          <w:iCs w:val="0"/>
          <w:color w:val="auto"/>
        </w:rPr>
        <w:t xml:space="preserve">made interesting strides, </w:t>
      </w:r>
      <w:r w:rsidR="00296B79">
        <w:rPr>
          <w:rStyle w:val="SubtleEmphasis"/>
          <w:i w:val="0"/>
          <w:iCs w:val="0"/>
          <w:color w:val="auto"/>
        </w:rPr>
        <w:t>but ha</w:t>
      </w:r>
      <w:r w:rsidR="000F6734">
        <w:rPr>
          <w:rStyle w:val="SubtleEmphasis"/>
          <w:i w:val="0"/>
          <w:iCs w:val="0"/>
          <w:color w:val="auto"/>
        </w:rPr>
        <w:t xml:space="preserve">d </w:t>
      </w:r>
      <w:r>
        <w:rPr>
          <w:rStyle w:val="SubtleEmphasis"/>
          <w:i w:val="0"/>
          <w:iCs w:val="0"/>
          <w:color w:val="auto"/>
        </w:rPr>
        <w:t>not consolidate</w:t>
      </w:r>
      <w:r w:rsidR="00065E5A">
        <w:rPr>
          <w:rStyle w:val="SubtleEmphasis"/>
          <w:i w:val="0"/>
          <w:iCs w:val="0"/>
          <w:color w:val="auto"/>
        </w:rPr>
        <w:t>d</w:t>
      </w:r>
      <w:r>
        <w:rPr>
          <w:rStyle w:val="SubtleEmphasis"/>
          <w:i w:val="0"/>
          <w:iCs w:val="0"/>
          <w:color w:val="auto"/>
        </w:rPr>
        <w:t xml:space="preserve"> into </w:t>
      </w:r>
      <w:r w:rsidR="00065E5A">
        <w:rPr>
          <w:rStyle w:val="SubtleEmphasis"/>
          <w:i w:val="0"/>
          <w:iCs w:val="0"/>
          <w:color w:val="auto"/>
        </w:rPr>
        <w:t xml:space="preserve">broader reform </w:t>
      </w:r>
      <w:r w:rsidRPr="00A06E7C">
        <w:rPr>
          <w:rStyle w:val="SubtleEmphasis"/>
          <w:i w:val="0"/>
          <w:iCs w:val="0"/>
          <w:color w:val="auto"/>
        </w:rPr>
        <w:t>process</w:t>
      </w:r>
      <w:r w:rsidR="00065E5A">
        <w:rPr>
          <w:rStyle w:val="SubtleEmphasis"/>
          <w:i w:val="0"/>
          <w:iCs w:val="0"/>
          <w:color w:val="auto"/>
        </w:rPr>
        <w:t>es</w:t>
      </w:r>
      <w:r w:rsidR="00B47951">
        <w:rPr>
          <w:rStyle w:val="SubtleEmphasis"/>
          <w:i w:val="0"/>
          <w:iCs w:val="0"/>
          <w:color w:val="auto"/>
        </w:rPr>
        <w:t xml:space="preserve"> as we s</w:t>
      </w:r>
      <w:r w:rsidR="00FB1E42">
        <w:rPr>
          <w:rStyle w:val="SubtleEmphasis"/>
          <w:i w:val="0"/>
          <w:iCs w:val="0"/>
          <w:color w:val="auto"/>
        </w:rPr>
        <w:t>e</w:t>
      </w:r>
      <w:r w:rsidR="00B47951">
        <w:rPr>
          <w:rStyle w:val="SubtleEmphasis"/>
          <w:i w:val="0"/>
          <w:iCs w:val="0"/>
          <w:color w:val="auto"/>
        </w:rPr>
        <w:t>e in Bulgaria</w:t>
      </w:r>
      <w:r>
        <w:rPr>
          <w:rStyle w:val="SubtleEmphasis"/>
          <w:i w:val="0"/>
          <w:iCs w:val="0"/>
          <w:color w:val="auto"/>
        </w:rPr>
        <w:t xml:space="preserve">. </w:t>
      </w:r>
    </w:p>
    <w:p w:rsidR="00672FD6" w:rsidRDefault="00736FDA" w:rsidP="009415DC">
      <w:pPr>
        <w:ind w:right="-334"/>
      </w:pPr>
      <w:r>
        <w:rPr>
          <w:rStyle w:val="SubtleEmphasis"/>
          <w:i w:val="0"/>
          <w:iCs w:val="0"/>
          <w:color w:val="auto"/>
        </w:rPr>
        <w:t xml:space="preserve">In sum: </w:t>
      </w:r>
      <w:r w:rsidR="002310D3">
        <w:rPr>
          <w:rStyle w:val="SubtleEmphasis"/>
          <w:i w:val="0"/>
          <w:iCs w:val="0"/>
          <w:color w:val="auto"/>
        </w:rPr>
        <w:t xml:space="preserve">It became clear to us that </w:t>
      </w:r>
      <w:r w:rsidR="002310D3">
        <w:rPr>
          <w:rFonts w:eastAsia="Times New Roman" w:cs="Arial"/>
          <w:color w:val="222222"/>
          <w:lang w:bidi="he-IL"/>
        </w:rPr>
        <w:t>g</w:t>
      </w:r>
      <w:r w:rsidR="002310D3" w:rsidRPr="00201A46">
        <w:rPr>
          <w:rStyle w:val="SubtleEmphasis"/>
          <w:i w:val="0"/>
          <w:iCs w:val="0"/>
          <w:color w:val="auto"/>
        </w:rPr>
        <w:t>iven the systemic</w:t>
      </w:r>
      <w:r w:rsidR="00947E74">
        <w:rPr>
          <w:rStyle w:val="SubtleEmphasis"/>
          <w:i w:val="0"/>
          <w:iCs w:val="0"/>
          <w:color w:val="auto"/>
        </w:rPr>
        <w:t xml:space="preserve"> </w:t>
      </w:r>
      <w:r w:rsidR="002310D3" w:rsidRPr="00201A46">
        <w:rPr>
          <w:rStyle w:val="SubtleEmphasis"/>
          <w:i w:val="0"/>
          <w:iCs w:val="0"/>
          <w:color w:val="auto"/>
        </w:rPr>
        <w:t xml:space="preserve">legal and social implications of eliminating </w:t>
      </w:r>
      <w:r w:rsidR="002310D3">
        <w:rPr>
          <w:rStyle w:val="SubtleEmphasis"/>
          <w:i w:val="0"/>
          <w:iCs w:val="0"/>
          <w:color w:val="auto"/>
        </w:rPr>
        <w:t xml:space="preserve">marginalizing </w:t>
      </w:r>
      <w:r w:rsidR="002310D3" w:rsidRPr="00201A46">
        <w:rPr>
          <w:rStyle w:val="SubtleEmphasis"/>
          <w:i w:val="0"/>
          <w:iCs w:val="0"/>
          <w:color w:val="auto"/>
        </w:rPr>
        <w:t xml:space="preserve">laws and practices </w:t>
      </w:r>
      <w:r w:rsidR="002310D3">
        <w:rPr>
          <w:rStyle w:val="SubtleEmphasis"/>
          <w:i w:val="0"/>
          <w:iCs w:val="0"/>
          <w:color w:val="auto"/>
        </w:rPr>
        <w:t>in this field and</w:t>
      </w:r>
      <w:r w:rsidR="00B47951">
        <w:rPr>
          <w:rStyle w:val="SubtleEmphasis"/>
          <w:i w:val="0"/>
          <w:iCs w:val="0"/>
          <w:color w:val="auto"/>
        </w:rPr>
        <w:t xml:space="preserve"> </w:t>
      </w:r>
      <w:r w:rsidR="00947E74">
        <w:rPr>
          <w:rStyle w:val="SubtleEmphasis"/>
          <w:i w:val="0"/>
          <w:iCs w:val="0"/>
          <w:color w:val="auto"/>
        </w:rPr>
        <w:t>establish</w:t>
      </w:r>
      <w:r w:rsidR="0042026B">
        <w:rPr>
          <w:rStyle w:val="SubtleEmphasis"/>
          <w:i w:val="0"/>
          <w:iCs w:val="0"/>
          <w:color w:val="auto"/>
        </w:rPr>
        <w:t>ing</w:t>
      </w:r>
      <w:r w:rsidR="00B47951">
        <w:rPr>
          <w:rStyle w:val="SubtleEmphasis"/>
          <w:i w:val="0"/>
          <w:iCs w:val="0"/>
          <w:color w:val="auto"/>
        </w:rPr>
        <w:t xml:space="preserve"> an</w:t>
      </w:r>
      <w:r w:rsidR="00E3012E">
        <w:rPr>
          <w:rStyle w:val="SubtleEmphasis"/>
          <w:i w:val="0"/>
          <w:iCs w:val="0"/>
          <w:color w:val="auto"/>
        </w:rPr>
        <w:t xml:space="preserve"> enabling</w:t>
      </w:r>
      <w:r w:rsidR="00B47951">
        <w:rPr>
          <w:rStyle w:val="SubtleEmphasis"/>
          <w:i w:val="0"/>
          <w:iCs w:val="0"/>
          <w:color w:val="auto"/>
        </w:rPr>
        <w:t xml:space="preserve"> framework</w:t>
      </w:r>
      <w:r w:rsidR="002310D3">
        <w:rPr>
          <w:rStyle w:val="SubtleEmphasis"/>
          <w:i w:val="0"/>
          <w:iCs w:val="0"/>
          <w:color w:val="auto"/>
        </w:rPr>
        <w:t xml:space="preserve">, </w:t>
      </w:r>
      <w:r>
        <w:rPr>
          <w:rStyle w:val="SubtleEmphasis"/>
          <w:i w:val="0"/>
          <w:iCs w:val="0"/>
          <w:color w:val="auto"/>
        </w:rPr>
        <w:t xml:space="preserve">deliberate </w:t>
      </w:r>
      <w:r w:rsidR="00947E74">
        <w:rPr>
          <w:rStyle w:val="SubtleEmphasis"/>
          <w:i w:val="0"/>
          <w:iCs w:val="0"/>
          <w:color w:val="auto"/>
        </w:rPr>
        <w:t xml:space="preserve">reform </w:t>
      </w:r>
      <w:r w:rsidR="002310D3" w:rsidRPr="00201A46">
        <w:rPr>
          <w:rStyle w:val="SubtleEmphasis"/>
          <w:i w:val="0"/>
          <w:iCs w:val="0"/>
          <w:color w:val="auto"/>
        </w:rPr>
        <w:t>process</w:t>
      </w:r>
      <w:r w:rsidR="005558A6">
        <w:rPr>
          <w:rStyle w:val="SubtleEmphasis"/>
          <w:i w:val="0"/>
          <w:iCs w:val="0"/>
          <w:color w:val="auto"/>
        </w:rPr>
        <w:t>es</w:t>
      </w:r>
      <w:r w:rsidR="002310D3" w:rsidRPr="00201A46">
        <w:rPr>
          <w:rStyle w:val="SubtleEmphasis"/>
          <w:i w:val="0"/>
          <w:iCs w:val="0"/>
          <w:color w:val="auto"/>
        </w:rPr>
        <w:t xml:space="preserve"> must be </w:t>
      </w:r>
      <w:r w:rsidR="00B47951">
        <w:rPr>
          <w:rStyle w:val="SubtleEmphasis"/>
          <w:i w:val="0"/>
          <w:iCs w:val="0"/>
          <w:color w:val="auto"/>
        </w:rPr>
        <w:t>initiated</w:t>
      </w:r>
      <w:r w:rsidR="002310D3">
        <w:rPr>
          <w:rStyle w:val="SubtleEmphasis"/>
          <w:i w:val="0"/>
          <w:iCs w:val="0"/>
          <w:color w:val="auto"/>
        </w:rPr>
        <w:t xml:space="preserve">. </w:t>
      </w:r>
      <w:r w:rsidR="0042026B">
        <w:rPr>
          <w:rStyle w:val="SubtleEmphasis"/>
          <w:i w:val="0"/>
          <w:iCs w:val="0"/>
          <w:color w:val="auto"/>
        </w:rPr>
        <w:t xml:space="preserve">Success is unlikely without </w:t>
      </w:r>
      <w:r w:rsidR="002310D3">
        <w:rPr>
          <w:rStyle w:val="SubtleEmphasis"/>
          <w:i w:val="0"/>
          <w:iCs w:val="0"/>
          <w:color w:val="auto"/>
        </w:rPr>
        <w:t xml:space="preserve">tackling </w:t>
      </w:r>
      <w:r w:rsidR="00947E74">
        <w:rPr>
          <w:rStyle w:val="SubtleEmphasis"/>
          <w:i w:val="0"/>
          <w:iCs w:val="0"/>
          <w:color w:val="auto"/>
        </w:rPr>
        <w:t>multiple</w:t>
      </w:r>
      <w:r w:rsidR="002310D3">
        <w:rPr>
          <w:rStyle w:val="SubtleEmphasis"/>
          <w:i w:val="0"/>
          <w:iCs w:val="0"/>
          <w:color w:val="auto"/>
        </w:rPr>
        <w:t xml:space="preserve"> field</w:t>
      </w:r>
      <w:r w:rsidR="00947E74">
        <w:rPr>
          <w:rStyle w:val="SubtleEmphasis"/>
          <w:i w:val="0"/>
          <w:iCs w:val="0"/>
          <w:color w:val="auto"/>
        </w:rPr>
        <w:t>s</w:t>
      </w:r>
      <w:r w:rsidR="0042026B">
        <w:rPr>
          <w:rStyle w:val="SubtleEmphasis"/>
          <w:i w:val="0"/>
          <w:iCs w:val="0"/>
          <w:color w:val="auto"/>
        </w:rPr>
        <w:t>, such as legislation, practice</w:t>
      </w:r>
      <w:r w:rsidR="005558A6">
        <w:rPr>
          <w:rStyle w:val="SubtleEmphasis"/>
          <w:i w:val="0"/>
          <w:iCs w:val="0"/>
          <w:color w:val="auto"/>
        </w:rPr>
        <w:t>,</w:t>
      </w:r>
      <w:r w:rsidR="0042026B">
        <w:rPr>
          <w:rStyle w:val="SubtleEmphasis"/>
          <w:i w:val="0"/>
          <w:iCs w:val="0"/>
          <w:color w:val="auto"/>
        </w:rPr>
        <w:t xml:space="preserve"> and </w:t>
      </w:r>
      <w:r w:rsidR="002310D3" w:rsidRPr="00201A46">
        <w:rPr>
          <w:rStyle w:val="SubtleEmphasis"/>
          <w:i w:val="0"/>
          <w:iCs w:val="0"/>
          <w:color w:val="auto"/>
        </w:rPr>
        <w:t>attitudes</w:t>
      </w:r>
      <w:r w:rsidR="002310D3">
        <w:rPr>
          <w:rStyle w:val="SubtleEmphasis"/>
          <w:i w:val="0"/>
          <w:iCs w:val="0"/>
          <w:color w:val="auto"/>
        </w:rPr>
        <w:t xml:space="preserve">. The process must be led by civil society, and driven by those directly affected; an academic center, or a mainstream human rights group, and even a disability rights advocacy group, alone, cannot </w:t>
      </w:r>
      <w:r w:rsidR="005558A6">
        <w:rPr>
          <w:rStyle w:val="SubtleEmphasis"/>
          <w:i w:val="0"/>
          <w:iCs w:val="0"/>
          <w:color w:val="auto"/>
        </w:rPr>
        <w:t xml:space="preserve">commandeer </w:t>
      </w:r>
      <w:r w:rsidR="002310D3">
        <w:rPr>
          <w:rStyle w:val="SubtleEmphasis"/>
          <w:i w:val="0"/>
          <w:iCs w:val="0"/>
          <w:color w:val="auto"/>
        </w:rPr>
        <w:t>such a process. At the same time, expertise is essential to provide legal, policy</w:t>
      </w:r>
      <w:r w:rsidR="00947E74">
        <w:rPr>
          <w:rStyle w:val="SubtleEmphasis"/>
          <w:i w:val="0"/>
          <w:iCs w:val="0"/>
          <w:color w:val="auto"/>
        </w:rPr>
        <w:t>,</w:t>
      </w:r>
      <w:r w:rsidR="002310D3">
        <w:rPr>
          <w:rStyle w:val="SubtleEmphasis"/>
          <w:i w:val="0"/>
          <w:iCs w:val="0"/>
          <w:color w:val="auto"/>
        </w:rPr>
        <w:t xml:space="preserve"> and </w:t>
      </w:r>
      <w:r w:rsidR="004F390F">
        <w:rPr>
          <w:rStyle w:val="SubtleEmphasis"/>
          <w:i w:val="0"/>
          <w:iCs w:val="0"/>
          <w:color w:val="auto"/>
        </w:rPr>
        <w:t>technical know-how</w:t>
      </w:r>
      <w:r w:rsidR="002310D3">
        <w:rPr>
          <w:rStyle w:val="SubtleEmphasis"/>
          <w:i w:val="0"/>
          <w:iCs w:val="0"/>
          <w:color w:val="auto"/>
        </w:rPr>
        <w:t xml:space="preserve">, and if it is not present </w:t>
      </w:r>
      <w:r w:rsidR="004F390F">
        <w:rPr>
          <w:rStyle w:val="SubtleEmphasis"/>
          <w:i w:val="0"/>
          <w:iCs w:val="0"/>
          <w:color w:val="auto"/>
        </w:rPr>
        <w:t xml:space="preserve">at </w:t>
      </w:r>
      <w:r w:rsidR="002310D3">
        <w:rPr>
          <w:rStyle w:val="SubtleEmphasis"/>
          <w:i w:val="0"/>
          <w:iCs w:val="0"/>
          <w:color w:val="auto"/>
        </w:rPr>
        <w:t>the national</w:t>
      </w:r>
      <w:r w:rsidR="004F390F">
        <w:rPr>
          <w:rStyle w:val="SubtleEmphasis"/>
          <w:i w:val="0"/>
          <w:iCs w:val="0"/>
          <w:color w:val="auto"/>
        </w:rPr>
        <w:t xml:space="preserve"> </w:t>
      </w:r>
      <w:r w:rsidR="002310D3">
        <w:rPr>
          <w:rStyle w:val="SubtleEmphasis"/>
          <w:i w:val="0"/>
          <w:iCs w:val="0"/>
          <w:color w:val="auto"/>
        </w:rPr>
        <w:t xml:space="preserve">level, it is incumbent </w:t>
      </w:r>
      <w:r w:rsidR="00947E74">
        <w:rPr>
          <w:rStyle w:val="SubtleEmphasis"/>
          <w:i w:val="0"/>
          <w:iCs w:val="0"/>
          <w:color w:val="auto"/>
        </w:rPr>
        <w:t>up</w:t>
      </w:r>
      <w:r w:rsidR="002310D3">
        <w:rPr>
          <w:rStyle w:val="SubtleEmphasis"/>
          <w:i w:val="0"/>
          <w:iCs w:val="0"/>
          <w:color w:val="auto"/>
        </w:rPr>
        <w:t xml:space="preserve">on us to figure out with our partners </w:t>
      </w:r>
      <w:r w:rsidR="004F390F">
        <w:rPr>
          <w:rStyle w:val="SubtleEmphasis"/>
          <w:i w:val="0"/>
          <w:iCs w:val="0"/>
          <w:color w:val="auto"/>
        </w:rPr>
        <w:t>how to</w:t>
      </w:r>
      <w:r w:rsidR="002310D3">
        <w:rPr>
          <w:rStyle w:val="SubtleEmphasis"/>
          <w:i w:val="0"/>
          <w:iCs w:val="0"/>
          <w:color w:val="auto"/>
        </w:rPr>
        <w:t xml:space="preserve"> fill that role. </w:t>
      </w:r>
      <w:r w:rsidR="00672FD6" w:rsidRPr="004B418E">
        <w:t xml:space="preserve">We learned that without such expertise in the mix, not only </w:t>
      </w:r>
      <w:r w:rsidR="00672FD6">
        <w:t xml:space="preserve">the </w:t>
      </w:r>
      <w:r w:rsidR="00672FD6" w:rsidRPr="004B418E">
        <w:t xml:space="preserve">effectiveness </w:t>
      </w:r>
      <w:r w:rsidR="00672FD6">
        <w:t xml:space="preserve">of interventions, </w:t>
      </w:r>
      <w:r w:rsidR="00672FD6" w:rsidRPr="004B418E">
        <w:t xml:space="preserve">but how legal capacity </w:t>
      </w:r>
      <w:r w:rsidR="00672FD6">
        <w:t xml:space="preserve">is developed </w:t>
      </w:r>
      <w:r w:rsidR="00672FD6" w:rsidRPr="004B418E">
        <w:t>in practice</w:t>
      </w:r>
      <w:r w:rsidR="00672FD6">
        <w:t>,</w:t>
      </w:r>
      <w:r w:rsidR="00672FD6" w:rsidRPr="004B418E">
        <w:t xml:space="preserve"> may be compromised. </w:t>
      </w:r>
    </w:p>
    <w:p w:rsidR="00546ABD" w:rsidRDefault="002310D3" w:rsidP="009415DC">
      <w:pPr>
        <w:ind w:right="-334"/>
      </w:pPr>
      <w:r w:rsidRPr="00EC615D">
        <w:rPr>
          <w:rFonts w:eastAsia="Times New Roman" w:cs="Arial"/>
          <w:b/>
          <w:bCs/>
          <w:lang w:bidi="he-IL"/>
        </w:rPr>
        <w:t xml:space="preserve">On the negative side, we learned </w:t>
      </w:r>
      <w:r w:rsidR="00AF008C">
        <w:rPr>
          <w:rFonts w:eastAsia="Times New Roman" w:cs="Arial"/>
          <w:b/>
          <w:bCs/>
          <w:lang w:bidi="he-IL"/>
        </w:rPr>
        <w:t xml:space="preserve">that </w:t>
      </w:r>
      <w:r w:rsidR="00AF008C" w:rsidRPr="00AF008C">
        <w:rPr>
          <w:b/>
          <w:bCs/>
        </w:rPr>
        <w:t xml:space="preserve">while legal capacity manifests in so many areas of life, not all </w:t>
      </w:r>
      <w:r w:rsidR="00AF008C">
        <w:rPr>
          <w:b/>
          <w:bCs/>
        </w:rPr>
        <w:t xml:space="preserve">of them </w:t>
      </w:r>
      <w:r w:rsidR="00AF008C" w:rsidRPr="00AF008C">
        <w:rPr>
          <w:b/>
          <w:bCs/>
        </w:rPr>
        <w:t>provide useful hooks for reform</w:t>
      </w:r>
      <w:r w:rsidR="0020616B">
        <w:rPr>
          <w:b/>
          <w:bCs/>
        </w:rPr>
        <w:t xml:space="preserve">, and that the mental health </w:t>
      </w:r>
      <w:r w:rsidR="000F6734">
        <w:rPr>
          <w:b/>
          <w:bCs/>
        </w:rPr>
        <w:t>law, although seemingly a potent entry point, is a problematic one</w:t>
      </w:r>
      <w:r w:rsidR="00AF008C" w:rsidRPr="00AF008C">
        <w:rPr>
          <w:b/>
          <w:bCs/>
        </w:rPr>
        <w:t>.</w:t>
      </w:r>
      <w:r w:rsidR="00AF008C">
        <w:t xml:space="preserve"> We find it helpful to analyze two entry points that we supported and did not extend to the multi-faceted reform cited above: voting rights and mental health law reform. </w:t>
      </w:r>
      <w:r w:rsidR="00DC2FF5">
        <w:t xml:space="preserve">Our support of the former entry point resulted in limited progress. Our support for the latter demonstrated the potential for </w:t>
      </w:r>
      <w:r w:rsidR="00436DD8">
        <w:t>negative repercussions ground by misidentifying effective entry points.</w:t>
      </w:r>
    </w:p>
    <w:p w:rsidR="00AF008C" w:rsidRDefault="00DC2FF5" w:rsidP="009415DC">
      <w:pPr>
        <w:ind w:right="-334"/>
      </w:pPr>
      <w:r>
        <w:t>We have supported o</w:t>
      </w:r>
      <w:r w:rsidR="00AF008C">
        <w:t xml:space="preserve">rganizations in Tanzania, Rwanda, and Zambia </w:t>
      </w:r>
      <w:r>
        <w:t xml:space="preserve">proposing </w:t>
      </w:r>
      <w:r w:rsidR="00AF008C">
        <w:t xml:space="preserve">to challenge electoral laws and constitutions that </w:t>
      </w:r>
      <w:r>
        <w:t xml:space="preserve">impose flagrant restrictions on persons with disabilities’ right to vote and stand for election on the basis of perceived incapacity, often coined as “unsoundness of mind.” </w:t>
      </w:r>
      <w:r w:rsidR="00AF008C">
        <w:t>This work has not led to a broader reform on legal capacity, possibly because it is a single-track issue and does not lend itself to broader implications, such as setting up alternative mechanisms of support</w:t>
      </w:r>
      <w:r w:rsidR="00A3279A">
        <w:t>. I</w:t>
      </w:r>
      <w:r w:rsidR="00436DD8">
        <w:t xml:space="preserve">ndeed, </w:t>
      </w:r>
      <w:r w:rsidR="00AF008C">
        <w:t xml:space="preserve">in accordance with our growing focus on a multi-layered approach, we do not foresee continuing a line of work centered on the right to vote alone. Yet we have found it helpful in eliciting a discussion among </w:t>
      </w:r>
      <w:r w:rsidR="00436DD8">
        <w:t>diverse actors</w:t>
      </w:r>
      <w:r w:rsidR="00A3279A">
        <w:t>,</w:t>
      </w:r>
      <w:r w:rsidR="00436DD8">
        <w:t xml:space="preserve"> </w:t>
      </w:r>
      <w:r w:rsidR="00AF008C">
        <w:t xml:space="preserve">because it is tangible, focused, and resonates with core values of universal suffrage and political participation. </w:t>
      </w:r>
    </w:p>
    <w:p w:rsidR="001828B8" w:rsidRPr="00436DD8" w:rsidRDefault="00546ABD" w:rsidP="009415DC">
      <w:pPr>
        <w:shd w:val="clear" w:color="auto" w:fill="FFFFFF"/>
        <w:ind w:right="-334"/>
        <w:rPr>
          <w:rFonts w:eastAsia="Times New Roman" w:cs="Arial"/>
          <w:lang w:bidi="he-IL"/>
        </w:rPr>
      </w:pPr>
      <w:r>
        <w:rPr>
          <w:rFonts w:eastAsia="Times New Roman" w:cs="Arial"/>
          <w:lang w:bidi="he-IL"/>
        </w:rPr>
        <w:t xml:space="preserve">Mental health law reform was a different story. Early on in our strategy, several grantees proposed to use the </w:t>
      </w:r>
      <w:r w:rsidR="00AF008C">
        <w:rPr>
          <w:rFonts w:eastAsia="Times New Roman" w:cs="Arial"/>
          <w:lang w:bidi="he-IL"/>
        </w:rPr>
        <w:t xml:space="preserve">political opening in their countries to reform the </w:t>
      </w:r>
      <w:r>
        <w:rPr>
          <w:rFonts w:eastAsia="Times New Roman" w:cs="Arial"/>
          <w:lang w:bidi="he-IL"/>
        </w:rPr>
        <w:t xml:space="preserve">typically </w:t>
      </w:r>
      <w:r w:rsidRPr="00DE655B">
        <w:rPr>
          <w:rFonts w:eastAsia="Times New Roman" w:cs="Arial"/>
          <w:lang w:bidi="he-IL"/>
        </w:rPr>
        <w:t>rights-violating mental health law regulating treatment and institutionalization</w:t>
      </w:r>
      <w:r>
        <w:rPr>
          <w:rFonts w:eastAsia="Times New Roman" w:cs="Arial"/>
          <w:lang w:bidi="he-IL"/>
        </w:rPr>
        <w:t>,</w:t>
      </w:r>
      <w:r w:rsidRPr="00DE655B">
        <w:rPr>
          <w:rFonts w:eastAsia="Times New Roman" w:cs="Arial"/>
          <w:lang w:bidi="he-IL"/>
        </w:rPr>
        <w:t xml:space="preserve"> to introduce principles of legal capacity and supported decision-making. </w:t>
      </w:r>
      <w:r>
        <w:rPr>
          <w:rFonts w:eastAsia="Times New Roman" w:cs="Arial"/>
          <w:lang w:bidi="he-IL"/>
        </w:rPr>
        <w:t>Initially w</w:t>
      </w:r>
      <w:r w:rsidR="00AF008C">
        <w:rPr>
          <w:rFonts w:eastAsia="Times New Roman" w:cs="Arial"/>
          <w:lang w:bidi="he-IL"/>
        </w:rPr>
        <w:t xml:space="preserve">e supported this approach, preferring that the opportunity be seized and thinking that by ensuring grantees had technical support, they could take on this complex task. </w:t>
      </w:r>
      <w:r w:rsidR="00436DD8">
        <w:rPr>
          <w:rFonts w:eastAsia="Times New Roman" w:cs="Arial"/>
          <w:lang w:bidi="he-IL"/>
        </w:rPr>
        <w:t>T</w:t>
      </w:r>
      <w:r w:rsidR="002310D3" w:rsidRPr="00DE655B">
        <w:rPr>
          <w:rFonts w:eastAsia="Times New Roman" w:cs="Arial"/>
          <w:lang w:bidi="he-IL"/>
        </w:rPr>
        <w:t>his turned out not to be the case</w:t>
      </w:r>
      <w:r w:rsidR="00A3279A">
        <w:rPr>
          <w:rFonts w:eastAsia="Times New Roman" w:cs="Arial"/>
          <w:lang w:bidi="he-IL"/>
        </w:rPr>
        <w:t xml:space="preserve">, and </w:t>
      </w:r>
      <w:r w:rsidR="002310D3" w:rsidRPr="00DE655B">
        <w:rPr>
          <w:rFonts w:eastAsia="Times New Roman" w:cs="Arial"/>
          <w:lang w:bidi="he-IL"/>
        </w:rPr>
        <w:t xml:space="preserve">nowhere more so than in Ghana. Between 2011 and 2012, we provided technical support to an organization of </w:t>
      </w:r>
      <w:r w:rsidR="00436DD8">
        <w:rPr>
          <w:rFonts w:eastAsia="Times New Roman" w:cs="Arial"/>
          <w:lang w:bidi="he-IL"/>
        </w:rPr>
        <w:t>users of mental health services and</w:t>
      </w:r>
      <w:r w:rsidR="002310D3" w:rsidRPr="00DE655B">
        <w:rPr>
          <w:rFonts w:eastAsia="Times New Roman" w:cs="Arial"/>
          <w:lang w:bidi="he-IL"/>
        </w:rPr>
        <w:t xml:space="preserve"> family members</w:t>
      </w:r>
      <w:r w:rsidR="00436DD8">
        <w:rPr>
          <w:rFonts w:eastAsia="Times New Roman" w:cs="Arial"/>
          <w:lang w:bidi="he-IL"/>
        </w:rPr>
        <w:t xml:space="preserve"> </w:t>
      </w:r>
      <w:r w:rsidR="002310D3" w:rsidRPr="00DE655B">
        <w:rPr>
          <w:rFonts w:eastAsia="Times New Roman" w:cs="Arial"/>
          <w:lang w:bidi="he-IL"/>
        </w:rPr>
        <w:t xml:space="preserve">in Ghana </w:t>
      </w:r>
      <w:r w:rsidR="000F6734">
        <w:rPr>
          <w:rFonts w:eastAsia="Times New Roman" w:cs="Arial"/>
          <w:lang w:bidi="he-IL"/>
        </w:rPr>
        <w:t xml:space="preserve">advocating </w:t>
      </w:r>
      <w:r>
        <w:rPr>
          <w:rFonts w:eastAsia="Times New Roman" w:cs="Arial"/>
          <w:lang w:bidi="he-IL"/>
        </w:rPr>
        <w:t xml:space="preserve">on the mental health bill. </w:t>
      </w:r>
      <w:r w:rsidR="002310D3" w:rsidRPr="00DE655B">
        <w:rPr>
          <w:rFonts w:eastAsia="Times New Roman" w:cs="Arial"/>
          <w:lang w:bidi="he-IL"/>
        </w:rPr>
        <w:t xml:space="preserve">The organization ended up championing a law </w:t>
      </w:r>
      <w:r w:rsidR="00893265">
        <w:rPr>
          <w:rFonts w:eastAsia="Times New Roman" w:cs="Arial"/>
          <w:lang w:bidi="he-IL"/>
        </w:rPr>
        <w:t>that</w:t>
      </w:r>
      <w:r w:rsidR="00893265" w:rsidRPr="00DE655B">
        <w:rPr>
          <w:rFonts w:eastAsia="Times New Roman" w:cs="Arial"/>
          <w:lang w:bidi="he-IL"/>
        </w:rPr>
        <w:t xml:space="preserve"> </w:t>
      </w:r>
      <w:r w:rsidR="002310D3" w:rsidRPr="00DE655B">
        <w:rPr>
          <w:rFonts w:eastAsia="Times New Roman" w:cs="Arial"/>
          <w:lang w:bidi="he-IL"/>
        </w:rPr>
        <w:t>perpetuates most of the previous law’s faults, including open-ended discretion to force</w:t>
      </w:r>
      <w:r w:rsidR="005558A6">
        <w:rPr>
          <w:rFonts w:eastAsia="Times New Roman" w:cs="Arial"/>
          <w:lang w:bidi="he-IL"/>
        </w:rPr>
        <w:t>d</w:t>
      </w:r>
      <w:r w:rsidR="002310D3" w:rsidRPr="00DE655B">
        <w:rPr>
          <w:rFonts w:eastAsia="Times New Roman" w:cs="Arial"/>
          <w:lang w:bidi="he-IL"/>
        </w:rPr>
        <w:t xml:space="preserve"> treatment </w:t>
      </w:r>
      <w:r w:rsidR="005558A6">
        <w:rPr>
          <w:rFonts w:eastAsia="Times New Roman" w:cs="Arial"/>
          <w:lang w:bidi="he-IL"/>
        </w:rPr>
        <w:t>and involuntary</w:t>
      </w:r>
      <w:r w:rsidR="005558A6" w:rsidRPr="00DE655B">
        <w:rPr>
          <w:rFonts w:eastAsia="Times New Roman" w:cs="Arial"/>
          <w:lang w:bidi="he-IL"/>
        </w:rPr>
        <w:t xml:space="preserve"> </w:t>
      </w:r>
      <w:r w:rsidR="002310D3" w:rsidRPr="00DE655B">
        <w:rPr>
          <w:rFonts w:eastAsia="Times New Roman" w:cs="Arial"/>
          <w:lang w:bidi="he-IL"/>
        </w:rPr>
        <w:t>confinement.</w:t>
      </w:r>
      <w:r w:rsidR="00B7277F">
        <w:rPr>
          <w:rFonts w:eastAsia="Times New Roman" w:cs="Arial"/>
          <w:lang w:bidi="he-IL"/>
        </w:rPr>
        <w:t xml:space="preserve"> </w:t>
      </w:r>
      <w:r w:rsidR="002310D3" w:rsidRPr="001828B8">
        <w:rPr>
          <w:rFonts w:eastAsia="Times New Roman" w:cs="Arial"/>
          <w:lang w:bidi="he-IL"/>
        </w:rPr>
        <w:t xml:space="preserve">We learned that changing the paradigm on forced treatment and </w:t>
      </w:r>
      <w:r w:rsidR="007D0127">
        <w:rPr>
          <w:rFonts w:eastAsia="Times New Roman" w:cs="Arial"/>
          <w:lang w:bidi="he-IL"/>
        </w:rPr>
        <w:t xml:space="preserve">forced psychiatric confinement </w:t>
      </w:r>
      <w:r w:rsidR="002310D3" w:rsidRPr="001828B8">
        <w:rPr>
          <w:rFonts w:eastAsia="Times New Roman" w:cs="Arial"/>
          <w:lang w:bidi="he-IL"/>
        </w:rPr>
        <w:t xml:space="preserve">is one of the most challenging aspects of legal capacity reform, and will first require clarifying the nub of the right to exercise legal capacity, and putting in place mechanisms of supported decision-making and alternative community-based mental health services and supports. Without </w:t>
      </w:r>
      <w:r w:rsidR="004F390F" w:rsidRPr="001828B8">
        <w:rPr>
          <w:rFonts w:eastAsia="Times New Roman" w:cs="Arial"/>
          <w:lang w:bidi="he-IL"/>
        </w:rPr>
        <w:t>this</w:t>
      </w:r>
      <w:r w:rsidR="002310D3" w:rsidRPr="001828B8">
        <w:rPr>
          <w:rFonts w:eastAsia="Times New Roman" w:cs="Arial"/>
          <w:lang w:bidi="he-IL"/>
        </w:rPr>
        <w:t xml:space="preserve"> </w:t>
      </w:r>
      <w:r w:rsidR="004F390F" w:rsidRPr="001828B8">
        <w:rPr>
          <w:rFonts w:eastAsia="Times New Roman" w:cs="Arial"/>
          <w:lang w:bidi="he-IL"/>
        </w:rPr>
        <w:t xml:space="preserve">practical </w:t>
      </w:r>
      <w:r w:rsidR="002310D3" w:rsidRPr="001828B8">
        <w:rPr>
          <w:rFonts w:eastAsia="Times New Roman" w:cs="Arial"/>
          <w:lang w:bidi="he-IL"/>
        </w:rPr>
        <w:t>groundwork, groups will hit a wall of resistance by the medical profession, government ministries, policy-makers</w:t>
      </w:r>
      <w:r w:rsidR="00B7277F" w:rsidRPr="001828B8">
        <w:rPr>
          <w:rFonts w:eastAsia="Times New Roman" w:cs="Arial"/>
          <w:lang w:bidi="he-IL"/>
        </w:rPr>
        <w:t>,</w:t>
      </w:r>
      <w:r w:rsidR="002310D3" w:rsidRPr="001828B8">
        <w:rPr>
          <w:rFonts w:eastAsia="Times New Roman" w:cs="Arial"/>
          <w:lang w:bidi="he-IL"/>
        </w:rPr>
        <w:t xml:space="preserve"> and legislators. Those </w:t>
      </w:r>
      <w:r w:rsidR="002310D3" w:rsidRPr="00CA0234">
        <w:t xml:space="preserve">not steeped in </w:t>
      </w:r>
      <w:r w:rsidR="000B7D4D">
        <w:t xml:space="preserve">implications of the </w:t>
      </w:r>
      <w:r w:rsidR="002310D3" w:rsidRPr="00CA0234">
        <w:t>CRPD for legal capacity</w:t>
      </w:r>
      <w:r w:rsidR="002310D3">
        <w:t xml:space="preserve"> may unwittingly settle for procedural changes on informed consent without getting any </w:t>
      </w:r>
      <w:r w:rsidR="00B7277F">
        <w:t>closer to the recognition or exercise of</w:t>
      </w:r>
      <w:r w:rsidR="001828B8">
        <w:t xml:space="preserve"> legal capacity</w:t>
      </w:r>
      <w:r w:rsidR="000B7D4D">
        <w:t>.</w:t>
      </w:r>
      <w:r w:rsidR="001828B8">
        <w:t xml:space="preserve"> </w:t>
      </w:r>
      <w:r w:rsidR="000B7D4D">
        <w:t>T</w:t>
      </w:r>
      <w:r w:rsidR="00974EAE">
        <w:t xml:space="preserve">he new law may be </w:t>
      </w:r>
      <w:r w:rsidR="00D84A42">
        <w:t xml:space="preserve">perceived </w:t>
      </w:r>
      <w:r w:rsidR="00974EAE">
        <w:t xml:space="preserve">as </w:t>
      </w:r>
      <w:r w:rsidR="00D84A42">
        <w:t xml:space="preserve">progressive </w:t>
      </w:r>
      <w:r w:rsidR="00974EAE">
        <w:t xml:space="preserve">by virtue of </w:t>
      </w:r>
      <w:r w:rsidR="00D84A42">
        <w:t xml:space="preserve">these </w:t>
      </w:r>
      <w:r w:rsidR="002310D3">
        <w:t>cosmetic changes</w:t>
      </w:r>
      <w:r w:rsidR="004D4726">
        <w:t>, but in effect</w:t>
      </w:r>
      <w:r w:rsidR="000F6734">
        <w:t xml:space="preserve"> halt further</w:t>
      </w:r>
      <w:r w:rsidR="004D4726">
        <w:t xml:space="preserve"> legal capacity </w:t>
      </w:r>
      <w:r w:rsidR="000F6734">
        <w:t xml:space="preserve">reform </w:t>
      </w:r>
      <w:r w:rsidR="004D4726">
        <w:t>consistent with the CRPD</w:t>
      </w:r>
      <w:r w:rsidR="002310D3">
        <w:t xml:space="preserve">. </w:t>
      </w:r>
    </w:p>
    <w:p w:rsidR="002310D3" w:rsidRPr="00CA0234" w:rsidRDefault="002C61E5" w:rsidP="009415DC">
      <w:pPr>
        <w:shd w:val="clear" w:color="auto" w:fill="FFFFFF"/>
        <w:ind w:right="-334"/>
      </w:pPr>
      <w:r>
        <w:t xml:space="preserve">With the exception of Zambia, </w:t>
      </w:r>
      <w:r w:rsidR="00436DD8" w:rsidRPr="00DE655B">
        <w:rPr>
          <w:rFonts w:eastAsia="Times New Roman" w:cs="Arial"/>
          <w:lang w:bidi="he-IL"/>
        </w:rPr>
        <w:t xml:space="preserve">which is one of the three pilot countries in our portfolio, </w:t>
      </w:r>
      <w:r>
        <w:t>w</w:t>
      </w:r>
      <w:r w:rsidR="002310D3">
        <w:t>e have since refrained from supporting such efforts</w:t>
      </w:r>
      <w:r>
        <w:t>,</w:t>
      </w:r>
      <w:r w:rsidR="002310D3">
        <w:t xml:space="preserve"> which ar</w:t>
      </w:r>
      <w:r w:rsidR="00662FE8">
        <w:t xml:space="preserve">e underway in several countries including </w:t>
      </w:r>
      <w:r w:rsidR="002310D3">
        <w:t>Kenya and Uganda.</w:t>
      </w:r>
      <w:r w:rsidR="000F6734">
        <w:t xml:space="preserve"> </w:t>
      </w:r>
      <w:r w:rsidR="002D4882">
        <w:t>We continued support i</w:t>
      </w:r>
      <w:r w:rsidR="00662FE8">
        <w:t>n Zambia</w:t>
      </w:r>
      <w:r w:rsidR="002D4882">
        <w:t xml:space="preserve"> because of the</w:t>
      </w:r>
      <w:r w:rsidR="000B6653">
        <w:t xml:space="preserve"> </w:t>
      </w:r>
      <w:r w:rsidR="002D4882">
        <w:t>strong partners spearheading the effort</w:t>
      </w:r>
      <w:r w:rsidR="000B6653">
        <w:t xml:space="preserve"> and the extraordinary clout they have with relevant ministries</w:t>
      </w:r>
      <w:r w:rsidR="002D4882">
        <w:t xml:space="preserve">, </w:t>
      </w:r>
      <w:r w:rsidR="00F05E4D">
        <w:t xml:space="preserve">their clarity of vision on the implications of Article 12, their success in embedding the right to legal capacity in the disability rights act (a victory as yet unmatched in most countries around the world), and our ability to engage </w:t>
      </w:r>
      <w:r w:rsidR="000B6653">
        <w:t xml:space="preserve">with the group </w:t>
      </w:r>
      <w:r w:rsidR="00F05E4D">
        <w:t xml:space="preserve">through the support provided by Dr. Bach and his Institute to the process. This </w:t>
      </w:r>
      <w:r w:rsidR="00662FE8">
        <w:t>confluence of facto</w:t>
      </w:r>
      <w:r w:rsidR="00F05E4D">
        <w:t>rs has led to positive results—the latest iteration of the mental health bill includes very interesting language recognizing legal capacity and supported decision-making—but these results are not easily replicable elsewhere, and even in Zambia the bill is still racked with inconsistencies</w:t>
      </w:r>
      <w:r w:rsidR="000B6653">
        <w:t xml:space="preserve"> and not guaranteed</w:t>
      </w:r>
      <w:r w:rsidR="000F6734">
        <w:t xml:space="preserve"> to pass with the progressive provisions</w:t>
      </w:r>
      <w:r w:rsidR="000B6653">
        <w:t xml:space="preserve">. </w:t>
      </w:r>
      <w:r w:rsidR="002310D3">
        <w:t>With Dr. Bach</w:t>
      </w:r>
      <w:r w:rsidR="003721BD">
        <w:t>’s ongoing support</w:t>
      </w:r>
      <w:r w:rsidR="002310D3">
        <w:t xml:space="preserve">, the </w:t>
      </w:r>
      <w:r w:rsidR="000B6653">
        <w:t xml:space="preserve">groups </w:t>
      </w:r>
      <w:r w:rsidR="002310D3">
        <w:t xml:space="preserve">are planning </w:t>
      </w:r>
      <w:r w:rsidR="003721BD">
        <w:t xml:space="preserve">supported decision-making </w:t>
      </w:r>
      <w:r w:rsidR="00320C6A">
        <w:t>pilots</w:t>
      </w:r>
      <w:r w:rsidR="00317BC5">
        <w:t xml:space="preserve">. We welcome </w:t>
      </w:r>
      <w:r w:rsidR="00320C6A">
        <w:t xml:space="preserve">the </w:t>
      </w:r>
      <w:r w:rsidR="00317BC5">
        <w:t xml:space="preserve">move beyond </w:t>
      </w:r>
      <w:r w:rsidR="00C830D9">
        <w:t xml:space="preserve">the </w:t>
      </w:r>
      <w:r w:rsidR="003F4B6A">
        <w:t xml:space="preserve">mental health-focused </w:t>
      </w:r>
      <w:r w:rsidR="00317BC5">
        <w:t>legislative endeavor toward creating practice on legal capacity</w:t>
      </w:r>
      <w:r w:rsidR="003F4B6A">
        <w:t xml:space="preserve">. </w:t>
      </w:r>
    </w:p>
    <w:p w:rsidR="002310D3" w:rsidRPr="00EC615D" w:rsidRDefault="002310D3" w:rsidP="009415DC">
      <w:pPr>
        <w:ind w:right="-334"/>
        <w:rPr>
          <w:bCs/>
          <w:u w:val="single"/>
        </w:rPr>
      </w:pPr>
      <w:r w:rsidRPr="00EC615D">
        <w:rPr>
          <w:b/>
          <w:u w:val="single"/>
        </w:rPr>
        <w:t xml:space="preserve">Failures and obstacles </w:t>
      </w:r>
    </w:p>
    <w:p w:rsidR="002310D3" w:rsidRDefault="00EC615D" w:rsidP="009415DC">
      <w:pPr>
        <w:pStyle w:val="ListParagraph"/>
        <w:numPr>
          <w:ilvl w:val="0"/>
          <w:numId w:val="22"/>
        </w:numPr>
        <w:shd w:val="clear" w:color="auto" w:fill="FFFFFF"/>
        <w:tabs>
          <w:tab w:val="left" w:pos="360"/>
        </w:tabs>
        <w:ind w:left="0" w:right="-334" w:firstLine="0"/>
      </w:pPr>
      <w:r>
        <w:rPr>
          <w:b/>
          <w:bCs/>
        </w:rPr>
        <w:t>Achieving b</w:t>
      </w:r>
      <w:r w:rsidR="00D460C4" w:rsidRPr="00EC615D">
        <w:rPr>
          <w:b/>
          <w:bCs/>
        </w:rPr>
        <w:t>alance in supporting constituencies</w:t>
      </w:r>
      <w:r w:rsidR="00D460C4">
        <w:t xml:space="preserve"> –</w:t>
      </w:r>
      <w:r w:rsidR="00ED477B">
        <w:t xml:space="preserve"> </w:t>
      </w:r>
      <w:r w:rsidR="002310D3">
        <w:t xml:space="preserve">At the same time that we partner closely with the international advocacy organization </w:t>
      </w:r>
      <w:r w:rsidR="004D507D">
        <w:t xml:space="preserve">of persons </w:t>
      </w:r>
      <w:r w:rsidR="002310D3">
        <w:t xml:space="preserve">with intellectual disabilities to promote Article 12 work, strikingly, we </w:t>
      </w:r>
      <w:r w:rsidR="0058607A">
        <w:t>have been un</w:t>
      </w:r>
      <w:r w:rsidR="002310D3">
        <w:t>able to partner with the parallel international advocacy organization representing persons with psychosocial disabilities. The gap is felt</w:t>
      </w:r>
      <w:r w:rsidR="0058607A">
        <w:t>.</w:t>
      </w:r>
      <w:r w:rsidR="002310D3">
        <w:t xml:space="preserve"> </w:t>
      </w:r>
      <w:r w:rsidR="0058607A">
        <w:t>A</w:t>
      </w:r>
      <w:r w:rsidR="002310D3">
        <w:t>bsent a strong platform</w:t>
      </w:r>
      <w:r w:rsidR="004D507D">
        <w:t xml:space="preserve"> </w:t>
      </w:r>
      <w:r w:rsidR="0058607A">
        <w:t xml:space="preserve">that </w:t>
      </w:r>
      <w:r w:rsidR="002310D3">
        <w:t xml:space="preserve">gives exposure to experience gained in supporting individuals with psychosocial disabilities in decision-making, the field is less developed and fewer resources are available to guide activists on practice. </w:t>
      </w:r>
    </w:p>
    <w:p w:rsidR="002310D3" w:rsidRDefault="002310D3" w:rsidP="005E7E7F">
      <w:pPr>
        <w:shd w:val="clear" w:color="auto" w:fill="FFFFFF"/>
        <w:ind w:right="-334"/>
      </w:pPr>
      <w:r>
        <w:t xml:space="preserve">Leadership and capacity are part of the explanation. Our support to the World Network of Users and Survivors of Psychiatry to build their capacity as a global leader on the rights of persons with psychosocial disabilities has not yielded </w:t>
      </w:r>
      <w:r w:rsidR="00874584">
        <w:t xml:space="preserve">their </w:t>
      </w:r>
      <w:r w:rsidR="00A701A2">
        <w:t>engage</w:t>
      </w:r>
      <w:r w:rsidR="00874584">
        <w:t>ment</w:t>
      </w:r>
      <w:r w:rsidR="00A701A2">
        <w:t xml:space="preserve"> in legal capacity reform in a sustained manner</w:t>
      </w:r>
      <w:r>
        <w:t>. As noted before, the</w:t>
      </w:r>
      <w:r w:rsidR="003F3904">
        <w:t xml:space="preserve">re </w:t>
      </w:r>
      <w:r w:rsidR="003F4B6A">
        <w:t xml:space="preserve">is a </w:t>
      </w:r>
      <w:r w:rsidR="003F3904">
        <w:t>difference</w:t>
      </w:r>
      <w:r w:rsidR="003F4B6A">
        <w:t xml:space="preserve">, at times subtle, </w:t>
      </w:r>
      <w:r>
        <w:t xml:space="preserve">between </w:t>
      </w:r>
      <w:r w:rsidR="003F3904">
        <w:t xml:space="preserve">providing </w:t>
      </w:r>
      <w:r>
        <w:t xml:space="preserve">support in exercising legal capacity and </w:t>
      </w:r>
      <w:r w:rsidRPr="00CB7717">
        <w:rPr>
          <w:i/>
          <w:iCs/>
        </w:rPr>
        <w:t>intervening</w:t>
      </w:r>
      <w:r>
        <w:t xml:space="preserve"> in one’s autonomy, particularly around decision-making by individuals with psychosocial disabilities</w:t>
      </w:r>
      <w:r w:rsidR="00F720CD">
        <w:t>,</w:t>
      </w:r>
      <w:r>
        <w:t xml:space="preserve"> where intervention is often motivated by </w:t>
      </w:r>
      <w:r w:rsidR="00A701A2">
        <w:t xml:space="preserve">society’s </w:t>
      </w:r>
      <w:r>
        <w:t xml:space="preserve">value judgments rather than by the individuals’ request for support. </w:t>
      </w:r>
      <w:r w:rsidR="00C04D8A">
        <w:t>While</w:t>
      </w:r>
      <w:r>
        <w:t xml:space="preserve"> there are experts within the World Network </w:t>
      </w:r>
      <w:r w:rsidR="00C04D8A">
        <w:t xml:space="preserve">who are credited with advancing the theoretical </w:t>
      </w:r>
      <w:r w:rsidR="0072685B">
        <w:t xml:space="preserve">underpinnings of </w:t>
      </w:r>
      <w:r w:rsidR="00C04D8A">
        <w:t xml:space="preserve">Article 12, </w:t>
      </w:r>
      <w:r w:rsidR="000C52BD">
        <w:t>they have not been involved in translating theory into practice</w:t>
      </w:r>
      <w:r>
        <w:t xml:space="preserve">. </w:t>
      </w:r>
      <w:r w:rsidR="003F70D9">
        <w:t xml:space="preserve">We </w:t>
      </w:r>
      <w:r>
        <w:t>hope to strengthen our connection with them and better utilize their experi</w:t>
      </w:r>
      <w:r w:rsidR="003F70D9">
        <w:t>ence in supporting our partners, and are encouraged by the strong advocacy by some of the World Network’s national affiliates, such as the group in Kenya.</w:t>
      </w:r>
    </w:p>
    <w:p w:rsidR="007627AE" w:rsidRPr="00874584" w:rsidRDefault="00D460C4" w:rsidP="009415DC">
      <w:pPr>
        <w:pStyle w:val="CommentText"/>
        <w:numPr>
          <w:ilvl w:val="0"/>
          <w:numId w:val="22"/>
        </w:numPr>
        <w:tabs>
          <w:tab w:val="left" w:pos="360"/>
        </w:tabs>
        <w:spacing w:line="276" w:lineRule="auto"/>
        <w:ind w:left="0" w:right="-334" w:firstLine="0"/>
        <w:rPr>
          <w:bCs/>
          <w:sz w:val="22"/>
          <w:szCs w:val="22"/>
        </w:rPr>
      </w:pPr>
      <w:r w:rsidRPr="00EC615D">
        <w:rPr>
          <w:b/>
          <w:bCs/>
          <w:sz w:val="22"/>
          <w:szCs w:val="22"/>
        </w:rPr>
        <w:t>Closing the communication</w:t>
      </w:r>
      <w:r w:rsidR="0026062A">
        <w:rPr>
          <w:b/>
          <w:bCs/>
          <w:sz w:val="22"/>
          <w:szCs w:val="22"/>
        </w:rPr>
        <w:t>s</w:t>
      </w:r>
      <w:r w:rsidRPr="00EC615D">
        <w:rPr>
          <w:b/>
          <w:bCs/>
          <w:sz w:val="22"/>
          <w:szCs w:val="22"/>
        </w:rPr>
        <w:t xml:space="preserve"> gap</w:t>
      </w:r>
      <w:r>
        <w:rPr>
          <w:sz w:val="22"/>
          <w:szCs w:val="22"/>
        </w:rPr>
        <w:t xml:space="preserve"> – W</w:t>
      </w:r>
      <w:r w:rsidR="00874584" w:rsidRPr="00874584">
        <w:rPr>
          <w:sz w:val="22"/>
          <w:szCs w:val="22"/>
        </w:rPr>
        <w:t>e have not been sufficiently intentional in ensuring that our work is accessible to audiences outside the immediate stakeholders of our projects.</w:t>
      </w:r>
      <w:r w:rsidR="00874584">
        <w:rPr>
          <w:sz w:val="22"/>
          <w:szCs w:val="22"/>
        </w:rPr>
        <w:t xml:space="preserve"> </w:t>
      </w:r>
      <w:r w:rsidR="000A2792" w:rsidRPr="00874584">
        <w:rPr>
          <w:bCs/>
          <w:sz w:val="22"/>
          <w:szCs w:val="22"/>
        </w:rPr>
        <w:t xml:space="preserve">Many activists worldwide, including ourselves, have been shaping and reshaping what we mean by </w:t>
      </w:r>
      <w:r w:rsidR="004E3780" w:rsidRPr="00874584">
        <w:rPr>
          <w:bCs/>
          <w:sz w:val="22"/>
          <w:szCs w:val="22"/>
        </w:rPr>
        <w:t>Article 12</w:t>
      </w:r>
      <w:r w:rsidR="000A2792" w:rsidRPr="00874584">
        <w:rPr>
          <w:bCs/>
          <w:sz w:val="22"/>
          <w:szCs w:val="22"/>
        </w:rPr>
        <w:t xml:space="preserve">, struggling to create an overarching narrative that can transmit </w:t>
      </w:r>
      <w:r w:rsidR="000856A8" w:rsidRPr="00874584">
        <w:rPr>
          <w:bCs/>
          <w:sz w:val="22"/>
          <w:szCs w:val="22"/>
        </w:rPr>
        <w:t xml:space="preserve">meaningfully </w:t>
      </w:r>
      <w:r w:rsidR="000A2792" w:rsidRPr="00874584">
        <w:rPr>
          <w:bCs/>
          <w:sz w:val="22"/>
          <w:szCs w:val="22"/>
        </w:rPr>
        <w:t xml:space="preserve">its </w:t>
      </w:r>
      <w:r w:rsidR="00874584">
        <w:rPr>
          <w:bCs/>
          <w:sz w:val="22"/>
          <w:szCs w:val="22"/>
        </w:rPr>
        <w:t>essence and</w:t>
      </w:r>
      <w:r w:rsidR="000856A8" w:rsidRPr="00874584">
        <w:rPr>
          <w:bCs/>
          <w:sz w:val="22"/>
          <w:szCs w:val="22"/>
        </w:rPr>
        <w:t xml:space="preserve"> unifying theme,</w:t>
      </w:r>
      <w:r w:rsidR="00560D55" w:rsidRPr="00874584">
        <w:rPr>
          <w:bCs/>
          <w:sz w:val="22"/>
          <w:szCs w:val="22"/>
        </w:rPr>
        <w:t xml:space="preserve"> </w:t>
      </w:r>
      <w:r w:rsidR="000856A8" w:rsidRPr="00874584">
        <w:rPr>
          <w:bCs/>
          <w:sz w:val="22"/>
          <w:szCs w:val="22"/>
        </w:rPr>
        <w:t xml:space="preserve">while </w:t>
      </w:r>
      <w:r w:rsidR="004E3780" w:rsidRPr="00874584">
        <w:rPr>
          <w:bCs/>
          <w:sz w:val="22"/>
          <w:szCs w:val="22"/>
        </w:rPr>
        <w:t>recognizing</w:t>
      </w:r>
      <w:r w:rsidR="000856A8" w:rsidRPr="00874584">
        <w:rPr>
          <w:bCs/>
          <w:sz w:val="22"/>
          <w:szCs w:val="22"/>
        </w:rPr>
        <w:t xml:space="preserve"> </w:t>
      </w:r>
      <w:r w:rsidR="000A2792" w:rsidRPr="00874584">
        <w:rPr>
          <w:bCs/>
          <w:sz w:val="22"/>
          <w:szCs w:val="22"/>
        </w:rPr>
        <w:t xml:space="preserve">the widely varying </w:t>
      </w:r>
      <w:r w:rsidR="00560D55" w:rsidRPr="00874584">
        <w:rPr>
          <w:bCs/>
          <w:sz w:val="22"/>
          <w:szCs w:val="22"/>
        </w:rPr>
        <w:t>contexts of this right and its violation. “</w:t>
      </w:r>
      <w:r w:rsidR="00AD2CEA" w:rsidRPr="00874584">
        <w:rPr>
          <w:bCs/>
          <w:sz w:val="22"/>
          <w:szCs w:val="22"/>
        </w:rPr>
        <w:t>L</w:t>
      </w:r>
      <w:r w:rsidR="00560D55" w:rsidRPr="00874584">
        <w:rPr>
          <w:bCs/>
          <w:sz w:val="22"/>
          <w:szCs w:val="22"/>
        </w:rPr>
        <w:t xml:space="preserve">egal capacity” </w:t>
      </w:r>
      <w:r w:rsidR="00AD2CEA" w:rsidRPr="00874584">
        <w:rPr>
          <w:bCs/>
          <w:sz w:val="22"/>
          <w:szCs w:val="22"/>
        </w:rPr>
        <w:t xml:space="preserve">has </w:t>
      </w:r>
      <w:r w:rsidR="004E3780" w:rsidRPr="00874584">
        <w:rPr>
          <w:bCs/>
          <w:sz w:val="22"/>
          <w:szCs w:val="22"/>
        </w:rPr>
        <w:t xml:space="preserve">become </w:t>
      </w:r>
      <w:r w:rsidR="00F61A4E">
        <w:rPr>
          <w:bCs/>
          <w:sz w:val="22"/>
          <w:szCs w:val="22"/>
        </w:rPr>
        <w:t xml:space="preserve">legalistic </w:t>
      </w:r>
      <w:r w:rsidR="00AD2CEA" w:rsidRPr="00874584">
        <w:rPr>
          <w:bCs/>
          <w:sz w:val="22"/>
          <w:szCs w:val="22"/>
        </w:rPr>
        <w:t xml:space="preserve">shorthand </w:t>
      </w:r>
      <w:r w:rsidR="00F720CD">
        <w:rPr>
          <w:bCs/>
          <w:sz w:val="22"/>
          <w:szCs w:val="22"/>
        </w:rPr>
        <w:t xml:space="preserve">used by many </w:t>
      </w:r>
      <w:r w:rsidR="004E3780" w:rsidRPr="00874584">
        <w:rPr>
          <w:bCs/>
          <w:sz w:val="22"/>
          <w:szCs w:val="22"/>
        </w:rPr>
        <w:t>to express the</w:t>
      </w:r>
      <w:r w:rsidR="000856A8" w:rsidRPr="00874584">
        <w:rPr>
          <w:bCs/>
          <w:sz w:val="22"/>
          <w:szCs w:val="22"/>
        </w:rPr>
        <w:t xml:space="preserve"> </w:t>
      </w:r>
      <w:r w:rsidR="002310D3" w:rsidRPr="00874584">
        <w:rPr>
          <w:bCs/>
          <w:sz w:val="22"/>
          <w:szCs w:val="22"/>
        </w:rPr>
        <w:t xml:space="preserve">deliberations, associations, findings, realizations, </w:t>
      </w:r>
      <w:r w:rsidR="0023502C" w:rsidRPr="00874584">
        <w:rPr>
          <w:bCs/>
          <w:sz w:val="22"/>
          <w:szCs w:val="22"/>
        </w:rPr>
        <w:t xml:space="preserve">and </w:t>
      </w:r>
      <w:r w:rsidR="002310D3" w:rsidRPr="00874584">
        <w:rPr>
          <w:bCs/>
          <w:sz w:val="22"/>
          <w:szCs w:val="22"/>
        </w:rPr>
        <w:t>stories</w:t>
      </w:r>
      <w:r w:rsidR="0023502C" w:rsidRPr="00874584">
        <w:rPr>
          <w:bCs/>
          <w:sz w:val="22"/>
          <w:szCs w:val="22"/>
        </w:rPr>
        <w:t xml:space="preserve"> from years of work</w:t>
      </w:r>
      <w:r w:rsidR="002310D3" w:rsidRPr="00874584">
        <w:rPr>
          <w:bCs/>
          <w:sz w:val="22"/>
          <w:szCs w:val="22"/>
        </w:rPr>
        <w:t>.</w:t>
      </w:r>
      <w:r w:rsidR="0023502C" w:rsidRPr="00874584">
        <w:rPr>
          <w:bCs/>
          <w:sz w:val="22"/>
          <w:szCs w:val="22"/>
        </w:rPr>
        <w:t xml:space="preserve"> </w:t>
      </w:r>
      <w:r w:rsidR="00BE1239">
        <w:rPr>
          <w:bCs/>
          <w:sz w:val="22"/>
          <w:szCs w:val="22"/>
        </w:rPr>
        <w:t>Yet</w:t>
      </w:r>
      <w:r w:rsidR="00BE1239" w:rsidRPr="00874584">
        <w:rPr>
          <w:bCs/>
          <w:sz w:val="22"/>
          <w:szCs w:val="22"/>
        </w:rPr>
        <w:t xml:space="preserve"> </w:t>
      </w:r>
      <w:r w:rsidR="006D6227" w:rsidRPr="00874584">
        <w:rPr>
          <w:bCs/>
          <w:sz w:val="22"/>
          <w:szCs w:val="22"/>
        </w:rPr>
        <w:t>n</w:t>
      </w:r>
      <w:r w:rsidR="00AD2CEA" w:rsidRPr="00874584">
        <w:rPr>
          <w:bCs/>
          <w:sz w:val="22"/>
          <w:szCs w:val="22"/>
        </w:rPr>
        <w:t>one of these</w:t>
      </w:r>
      <w:r w:rsidR="006D6227" w:rsidRPr="00874584">
        <w:rPr>
          <w:bCs/>
          <w:sz w:val="22"/>
          <w:szCs w:val="22"/>
        </w:rPr>
        <w:t xml:space="preserve"> are transmitted by using the </w:t>
      </w:r>
      <w:r w:rsidR="00AD2CEA" w:rsidRPr="00874584">
        <w:rPr>
          <w:bCs/>
          <w:sz w:val="22"/>
          <w:szCs w:val="22"/>
        </w:rPr>
        <w:t xml:space="preserve">shorthand. </w:t>
      </w:r>
      <w:r w:rsidR="008347CE" w:rsidRPr="00874584">
        <w:rPr>
          <w:bCs/>
          <w:sz w:val="22"/>
          <w:szCs w:val="22"/>
        </w:rPr>
        <w:t xml:space="preserve">The paradigm shift </w:t>
      </w:r>
      <w:r w:rsidR="0074415E" w:rsidRPr="00874584">
        <w:rPr>
          <w:bCs/>
          <w:sz w:val="22"/>
          <w:szCs w:val="22"/>
        </w:rPr>
        <w:t xml:space="preserve">required by </w:t>
      </w:r>
      <w:r w:rsidR="008347CE" w:rsidRPr="00874584">
        <w:rPr>
          <w:bCs/>
          <w:sz w:val="22"/>
          <w:szCs w:val="22"/>
        </w:rPr>
        <w:t xml:space="preserve">Article 12 is so vast, the protective impulse </w:t>
      </w:r>
      <w:r w:rsidR="00AD2CEA" w:rsidRPr="00874584">
        <w:rPr>
          <w:bCs/>
          <w:sz w:val="22"/>
          <w:szCs w:val="22"/>
        </w:rPr>
        <w:t>so strong</w:t>
      </w:r>
      <w:r w:rsidR="003A3FD2" w:rsidRPr="00874584">
        <w:rPr>
          <w:bCs/>
          <w:sz w:val="22"/>
          <w:szCs w:val="22"/>
        </w:rPr>
        <w:t>,</w:t>
      </w:r>
      <w:r w:rsidR="00AD2CEA" w:rsidRPr="00874584">
        <w:rPr>
          <w:bCs/>
          <w:sz w:val="22"/>
          <w:szCs w:val="22"/>
        </w:rPr>
        <w:t xml:space="preserve"> and </w:t>
      </w:r>
      <w:r w:rsidR="008347CE" w:rsidRPr="00874584">
        <w:rPr>
          <w:bCs/>
          <w:sz w:val="22"/>
          <w:szCs w:val="22"/>
        </w:rPr>
        <w:t xml:space="preserve">the stakeholders whose mindsets need to be swayed so </w:t>
      </w:r>
      <w:r w:rsidR="003A3FD2" w:rsidRPr="00874584">
        <w:rPr>
          <w:bCs/>
          <w:sz w:val="22"/>
          <w:szCs w:val="22"/>
        </w:rPr>
        <w:t xml:space="preserve">widespread </w:t>
      </w:r>
      <w:r w:rsidR="008347CE" w:rsidRPr="00874584">
        <w:rPr>
          <w:bCs/>
          <w:sz w:val="22"/>
          <w:szCs w:val="22"/>
        </w:rPr>
        <w:t xml:space="preserve">among lay, professional, legal, and political </w:t>
      </w:r>
      <w:r w:rsidR="00AD2CEA" w:rsidRPr="00874584">
        <w:rPr>
          <w:bCs/>
          <w:sz w:val="22"/>
          <w:szCs w:val="22"/>
        </w:rPr>
        <w:t>communities</w:t>
      </w:r>
      <w:r w:rsidR="008347CE" w:rsidRPr="00874584">
        <w:rPr>
          <w:bCs/>
          <w:sz w:val="22"/>
          <w:szCs w:val="22"/>
        </w:rPr>
        <w:t>, that convey</w:t>
      </w:r>
      <w:r w:rsidR="0074415E" w:rsidRPr="00874584">
        <w:rPr>
          <w:bCs/>
          <w:sz w:val="22"/>
          <w:szCs w:val="22"/>
        </w:rPr>
        <w:t>ing</w:t>
      </w:r>
      <w:r w:rsidR="008347CE" w:rsidRPr="00874584">
        <w:rPr>
          <w:bCs/>
          <w:sz w:val="22"/>
          <w:szCs w:val="22"/>
        </w:rPr>
        <w:t xml:space="preserve"> succinctly and compellingly to </w:t>
      </w:r>
      <w:r w:rsidR="00AD2CEA" w:rsidRPr="00874584">
        <w:rPr>
          <w:bCs/>
          <w:sz w:val="22"/>
          <w:szCs w:val="22"/>
        </w:rPr>
        <w:t xml:space="preserve">each </w:t>
      </w:r>
      <w:r w:rsidR="008347CE" w:rsidRPr="00874584">
        <w:rPr>
          <w:bCs/>
          <w:sz w:val="22"/>
          <w:szCs w:val="22"/>
        </w:rPr>
        <w:t xml:space="preserve">audience </w:t>
      </w:r>
      <w:r w:rsidR="00AD2CEA" w:rsidRPr="00874584">
        <w:rPr>
          <w:bCs/>
          <w:sz w:val="22"/>
          <w:szCs w:val="22"/>
        </w:rPr>
        <w:t xml:space="preserve">what we are talking about </w:t>
      </w:r>
      <w:r w:rsidR="008347CE" w:rsidRPr="00874584">
        <w:rPr>
          <w:bCs/>
          <w:sz w:val="22"/>
          <w:szCs w:val="22"/>
        </w:rPr>
        <w:t>is</w:t>
      </w:r>
      <w:r w:rsidR="00AD2CEA" w:rsidRPr="00874584">
        <w:rPr>
          <w:bCs/>
          <w:sz w:val="22"/>
          <w:szCs w:val="22"/>
        </w:rPr>
        <w:t xml:space="preserve"> </w:t>
      </w:r>
      <w:r w:rsidR="008347CE" w:rsidRPr="00874584">
        <w:rPr>
          <w:bCs/>
          <w:sz w:val="22"/>
          <w:szCs w:val="22"/>
        </w:rPr>
        <w:t xml:space="preserve">a </w:t>
      </w:r>
      <w:r w:rsidR="00AD2CEA" w:rsidRPr="00874584">
        <w:rPr>
          <w:bCs/>
          <w:sz w:val="22"/>
          <w:szCs w:val="22"/>
        </w:rPr>
        <w:t xml:space="preserve">task </w:t>
      </w:r>
      <w:r w:rsidR="00AF6742">
        <w:rPr>
          <w:bCs/>
          <w:sz w:val="22"/>
          <w:szCs w:val="22"/>
        </w:rPr>
        <w:t>we cannot neglect going forward</w:t>
      </w:r>
      <w:r w:rsidR="00AD2CEA" w:rsidRPr="00874584">
        <w:rPr>
          <w:bCs/>
          <w:sz w:val="22"/>
          <w:szCs w:val="22"/>
        </w:rPr>
        <w:t xml:space="preserve">. </w:t>
      </w:r>
    </w:p>
    <w:p w:rsidR="000B7D4D" w:rsidRDefault="00AD2CEA" w:rsidP="009415DC">
      <w:pPr>
        <w:ind w:right="-334"/>
        <w:rPr>
          <w:bCs/>
        </w:rPr>
      </w:pPr>
      <w:r>
        <w:rPr>
          <w:bCs/>
        </w:rPr>
        <w:t xml:space="preserve">Upon reflection, how to communicate Article 12 </w:t>
      </w:r>
      <w:r w:rsidR="004E3780">
        <w:rPr>
          <w:bCs/>
        </w:rPr>
        <w:t xml:space="preserve">to a broader audience </w:t>
      </w:r>
      <w:r>
        <w:rPr>
          <w:bCs/>
        </w:rPr>
        <w:t>has always been incidental</w:t>
      </w:r>
      <w:r w:rsidR="00C655FF">
        <w:rPr>
          <w:bCs/>
        </w:rPr>
        <w:t xml:space="preserve"> to (if at all present in) </w:t>
      </w:r>
      <w:r w:rsidR="004E3780">
        <w:rPr>
          <w:bCs/>
        </w:rPr>
        <w:t>advocacy</w:t>
      </w:r>
      <w:r w:rsidR="00C655FF">
        <w:rPr>
          <w:bCs/>
        </w:rPr>
        <w:t xml:space="preserve"> </w:t>
      </w:r>
      <w:r w:rsidR="004E3780">
        <w:rPr>
          <w:bCs/>
        </w:rPr>
        <w:t>to deconstruct</w:t>
      </w:r>
      <w:r w:rsidR="00C655FF">
        <w:rPr>
          <w:bCs/>
        </w:rPr>
        <w:t xml:space="preserve"> the old paradigm and build the infrastructure of the new</w:t>
      </w:r>
      <w:r w:rsidR="00874584">
        <w:rPr>
          <w:bCs/>
        </w:rPr>
        <w:t xml:space="preserve"> one</w:t>
      </w:r>
      <w:r w:rsidR="007627AE">
        <w:rPr>
          <w:bCs/>
        </w:rPr>
        <w:t>.</w:t>
      </w:r>
      <w:r w:rsidR="00F61A4E">
        <w:rPr>
          <w:bCs/>
        </w:rPr>
        <w:t xml:space="preserve"> I</w:t>
      </w:r>
      <w:r w:rsidR="00874584">
        <w:rPr>
          <w:bCs/>
        </w:rPr>
        <w:t xml:space="preserve">n the few cases </w:t>
      </w:r>
      <w:r w:rsidR="00BE1239">
        <w:rPr>
          <w:bCs/>
        </w:rPr>
        <w:t xml:space="preserve">where </w:t>
      </w:r>
      <w:r w:rsidR="007627AE">
        <w:rPr>
          <w:bCs/>
        </w:rPr>
        <w:t xml:space="preserve">an activity line appeared in a proposal </w:t>
      </w:r>
      <w:r w:rsidR="00BE1239">
        <w:rPr>
          <w:bCs/>
        </w:rPr>
        <w:t xml:space="preserve">related to </w:t>
      </w:r>
      <w:r w:rsidR="007627AE">
        <w:rPr>
          <w:bCs/>
        </w:rPr>
        <w:t>“public awareness” or “campaigning,” we checked to make sure the figure was low</w:t>
      </w:r>
      <w:r w:rsidR="007D0127">
        <w:rPr>
          <w:bCs/>
        </w:rPr>
        <w:t xml:space="preserve"> rather tha</w:t>
      </w:r>
      <w:r w:rsidR="00F61A4E">
        <w:rPr>
          <w:bCs/>
        </w:rPr>
        <w:t>n encourage this line of action</w:t>
      </w:r>
      <w:r w:rsidR="007627AE">
        <w:rPr>
          <w:bCs/>
        </w:rPr>
        <w:t xml:space="preserve">. Looking back, and probing that same grantee now—our Bulgarian partners in this case—the reference was to a photography exhibit </w:t>
      </w:r>
      <w:r w:rsidR="00BE1239">
        <w:rPr>
          <w:bCs/>
        </w:rPr>
        <w:t xml:space="preserve">that </w:t>
      </w:r>
      <w:r w:rsidR="007627AE">
        <w:rPr>
          <w:bCs/>
        </w:rPr>
        <w:t>center</w:t>
      </w:r>
      <w:r w:rsidR="00BE1239">
        <w:rPr>
          <w:bCs/>
        </w:rPr>
        <w:t>ed on</w:t>
      </w:r>
      <w:r w:rsidR="007627AE">
        <w:rPr>
          <w:bCs/>
        </w:rPr>
        <w:t xml:space="preserve"> individuals supported through the project and their stories of how their lives changed with </w:t>
      </w:r>
      <w:r w:rsidR="009A6745">
        <w:rPr>
          <w:bCs/>
        </w:rPr>
        <w:t xml:space="preserve">their </w:t>
      </w:r>
      <w:r w:rsidR="007627AE">
        <w:rPr>
          <w:bCs/>
        </w:rPr>
        <w:t xml:space="preserve">decision-making restored. We </w:t>
      </w:r>
      <w:r w:rsidR="00585DDB">
        <w:rPr>
          <w:bCs/>
        </w:rPr>
        <w:t xml:space="preserve">saw that exhibit during one of our visits. </w:t>
      </w:r>
      <w:r w:rsidR="007627AE">
        <w:rPr>
          <w:bCs/>
        </w:rPr>
        <w:t xml:space="preserve">It accompanied an intensive period of convenings with the legal profession, and was highly effective in making the issue real and gripping. But as exhibits go, it was </w:t>
      </w:r>
      <w:r w:rsidR="00585DDB">
        <w:rPr>
          <w:bCs/>
        </w:rPr>
        <w:t>t</w:t>
      </w:r>
      <w:r w:rsidR="007627AE">
        <w:rPr>
          <w:bCs/>
        </w:rPr>
        <w:t xml:space="preserve">emporary, and </w:t>
      </w:r>
      <w:r w:rsidR="00585DDB">
        <w:rPr>
          <w:bCs/>
        </w:rPr>
        <w:t xml:space="preserve">is </w:t>
      </w:r>
      <w:r w:rsidR="007627AE">
        <w:rPr>
          <w:bCs/>
        </w:rPr>
        <w:t xml:space="preserve">no longer being shown. </w:t>
      </w:r>
      <w:r w:rsidR="007F66AA">
        <w:rPr>
          <w:bCs/>
        </w:rPr>
        <w:t>Other projects we support lack a communication</w:t>
      </w:r>
      <w:r w:rsidR="00BF22E2">
        <w:rPr>
          <w:bCs/>
        </w:rPr>
        <w:t>s</w:t>
      </w:r>
      <w:r w:rsidR="007F66AA">
        <w:rPr>
          <w:bCs/>
        </w:rPr>
        <w:t xml:space="preserve"> aspect</w:t>
      </w:r>
      <w:r w:rsidR="00AF6742">
        <w:rPr>
          <w:bCs/>
        </w:rPr>
        <w:t xml:space="preserve"> all together</w:t>
      </w:r>
      <w:r w:rsidR="007F66AA">
        <w:rPr>
          <w:bCs/>
        </w:rPr>
        <w:t xml:space="preserve">, and we have seen presentations </w:t>
      </w:r>
      <w:r w:rsidR="00AF6742">
        <w:rPr>
          <w:bCs/>
        </w:rPr>
        <w:t xml:space="preserve">by our grantees and partners </w:t>
      </w:r>
      <w:r w:rsidR="007F66AA">
        <w:rPr>
          <w:bCs/>
        </w:rPr>
        <w:t xml:space="preserve">that leave listeners </w:t>
      </w:r>
      <w:r w:rsidR="009A6745">
        <w:rPr>
          <w:bCs/>
        </w:rPr>
        <w:t>unmoved</w:t>
      </w:r>
      <w:r w:rsidR="007F66AA">
        <w:rPr>
          <w:bCs/>
        </w:rPr>
        <w:t xml:space="preserve">, including important </w:t>
      </w:r>
      <w:r w:rsidR="009A6745">
        <w:rPr>
          <w:bCs/>
        </w:rPr>
        <w:t>conversations with the judiciary and other decision-makers</w:t>
      </w:r>
      <w:r w:rsidR="007F66AA">
        <w:rPr>
          <w:bCs/>
        </w:rPr>
        <w:t xml:space="preserve">. </w:t>
      </w:r>
    </w:p>
    <w:p w:rsidR="0077075F" w:rsidRDefault="000B7D4D" w:rsidP="009415DC">
      <w:pPr>
        <w:ind w:right="-334"/>
        <w:rPr>
          <w:bCs/>
        </w:rPr>
      </w:pPr>
      <w:r>
        <w:rPr>
          <w:bCs/>
        </w:rPr>
        <w:t xml:space="preserve">There are notable exceptions to </w:t>
      </w:r>
      <w:r w:rsidR="002C0674">
        <w:rPr>
          <w:bCs/>
        </w:rPr>
        <w:t xml:space="preserve">our assessment about the inaccessibility of </w:t>
      </w:r>
      <w:r>
        <w:rPr>
          <w:bCs/>
        </w:rPr>
        <w:t>Article 12 to broader audiences</w:t>
      </w:r>
      <w:r w:rsidR="0077075F">
        <w:rPr>
          <w:bCs/>
        </w:rPr>
        <w:t>:</w:t>
      </w:r>
      <w:r>
        <w:rPr>
          <w:bCs/>
        </w:rPr>
        <w:t xml:space="preserve"> </w:t>
      </w:r>
    </w:p>
    <w:p w:rsidR="0077075F" w:rsidRDefault="000B7D4D" w:rsidP="009415DC">
      <w:pPr>
        <w:pStyle w:val="ListParagraph"/>
        <w:numPr>
          <w:ilvl w:val="0"/>
          <w:numId w:val="26"/>
        </w:numPr>
        <w:ind w:right="-334"/>
        <w:rPr>
          <w:bCs/>
        </w:rPr>
      </w:pPr>
      <w:r w:rsidRPr="0077075F">
        <w:rPr>
          <w:bCs/>
        </w:rPr>
        <w:t xml:space="preserve">Inclusion International’s </w:t>
      </w:r>
      <w:r w:rsidR="002C0674">
        <w:rPr>
          <w:bCs/>
        </w:rPr>
        <w:t xml:space="preserve">recent </w:t>
      </w:r>
      <w:r w:rsidRPr="0077075F">
        <w:rPr>
          <w:bCs/>
        </w:rPr>
        <w:t>global rep</w:t>
      </w:r>
      <w:r w:rsidR="00BF22E2">
        <w:rPr>
          <w:bCs/>
        </w:rPr>
        <w:t>ort, “Independent but Not Alone</w:t>
      </w:r>
      <w:r w:rsidR="002C0674">
        <w:rPr>
          <w:bCs/>
        </w:rPr>
        <w:t>–</w:t>
      </w:r>
      <w:r w:rsidRPr="0077075F">
        <w:rPr>
          <w:bCs/>
        </w:rPr>
        <w:t>A Global Report on the Right to Decide,” is the product of a thus-far rarely-applied methodolog</w:t>
      </w:r>
      <w:r w:rsidR="0077075F" w:rsidRPr="00F61A4E">
        <w:rPr>
          <w:bCs/>
        </w:rPr>
        <w:t xml:space="preserve">y </w:t>
      </w:r>
      <w:r w:rsidRPr="00F61A4E">
        <w:rPr>
          <w:bCs/>
        </w:rPr>
        <w:t xml:space="preserve">to communicating Article 12. Each of the report’s chapters shines a light on an aspect of Article 12, going back and forth between principle, policy, and narrative. The examples are tangible and the widespread use of first-person is empowering. </w:t>
      </w:r>
    </w:p>
    <w:p w:rsidR="008F28A8" w:rsidRPr="008F28A8" w:rsidRDefault="008F28A8" w:rsidP="009415DC">
      <w:pPr>
        <w:pStyle w:val="ListParagraph"/>
        <w:ind w:left="360" w:right="-334"/>
        <w:rPr>
          <w:bCs/>
          <w:sz w:val="12"/>
          <w:szCs w:val="12"/>
        </w:rPr>
      </w:pPr>
    </w:p>
    <w:p w:rsidR="000B7D4D" w:rsidRPr="0077075F" w:rsidRDefault="000B7D4D" w:rsidP="009415DC">
      <w:pPr>
        <w:pStyle w:val="ListParagraph"/>
        <w:numPr>
          <w:ilvl w:val="0"/>
          <w:numId w:val="26"/>
        </w:numPr>
        <w:ind w:right="-334"/>
        <w:rPr>
          <w:bCs/>
        </w:rPr>
      </w:pPr>
      <w:r w:rsidRPr="0077075F">
        <w:rPr>
          <w:bCs/>
        </w:rPr>
        <w:t>Our technical assistance partner from Israel</w:t>
      </w:r>
      <w:r w:rsidR="00F61A4E">
        <w:rPr>
          <w:bCs/>
        </w:rPr>
        <w:t xml:space="preserve"> </w:t>
      </w:r>
      <w:r w:rsidRPr="0077075F">
        <w:rPr>
          <w:bCs/>
        </w:rPr>
        <w:t xml:space="preserve">has begun an EU-funded pilot on supported decision-making. The group shared with us their plan to incorporate from the outset </w:t>
      </w:r>
      <w:r>
        <w:t xml:space="preserve">a digital campaign of short clips featuring individuals under guardianship and those whose legal capacity has been restored. Animation will be used to bring to life legal research demonstrating the tools to support decision-making in financial matters without resorting to guardianship. An effort will be made to maintain a balance between providing information and creating an emotional connection to the issue. Different clips would target different audiences, whether individuals with disabilities themselves, families, or policy-makers. </w:t>
      </w:r>
    </w:p>
    <w:p w:rsidR="00874584" w:rsidRDefault="000B7D4D" w:rsidP="009415DC">
      <w:pPr>
        <w:ind w:right="-334"/>
        <w:rPr>
          <w:bCs/>
        </w:rPr>
      </w:pPr>
      <w:r>
        <w:rPr>
          <w:bCs/>
        </w:rPr>
        <w:t xml:space="preserve">We now recognize the need to apply rigor and strategy to communicating about Article 12. This entails a commitment to avoiding legalistic shorthand and </w:t>
      </w:r>
      <w:r w:rsidR="00BF22E2">
        <w:rPr>
          <w:bCs/>
        </w:rPr>
        <w:t>principled arguments</w:t>
      </w:r>
      <w:r w:rsidR="00AF6742">
        <w:rPr>
          <w:bCs/>
        </w:rPr>
        <w:t xml:space="preserve"> that</w:t>
      </w:r>
      <w:r w:rsidR="003D24D8">
        <w:rPr>
          <w:bCs/>
        </w:rPr>
        <w:t xml:space="preserve"> do not acknowledge real challenges and unanswered questions</w:t>
      </w:r>
      <w:r w:rsidR="00BF22E2">
        <w:rPr>
          <w:bCs/>
        </w:rPr>
        <w:t>,</w:t>
      </w:r>
      <w:r w:rsidR="00AF6742">
        <w:rPr>
          <w:bCs/>
        </w:rPr>
        <w:t xml:space="preserve"> legitimately worrying</w:t>
      </w:r>
      <w:r>
        <w:rPr>
          <w:bCs/>
        </w:rPr>
        <w:t xml:space="preserve"> stakeholders </w:t>
      </w:r>
      <w:r w:rsidR="00AF6742">
        <w:rPr>
          <w:bCs/>
        </w:rPr>
        <w:t>such as the</w:t>
      </w:r>
      <w:r>
        <w:rPr>
          <w:bCs/>
        </w:rPr>
        <w:t xml:space="preserve"> medical profession, judges</w:t>
      </w:r>
      <w:r w:rsidR="00BF22E2">
        <w:rPr>
          <w:bCs/>
        </w:rPr>
        <w:t>,</w:t>
      </w:r>
      <w:r>
        <w:rPr>
          <w:bCs/>
        </w:rPr>
        <w:t xml:space="preserve"> and </w:t>
      </w:r>
      <w:r w:rsidR="00BF22E2">
        <w:rPr>
          <w:bCs/>
        </w:rPr>
        <w:t>financial institutions</w:t>
      </w:r>
      <w:r>
        <w:rPr>
          <w:bCs/>
        </w:rPr>
        <w:t xml:space="preserve">. </w:t>
      </w:r>
    </w:p>
    <w:p w:rsidR="00645D5A" w:rsidRDefault="00D460C4" w:rsidP="009415DC">
      <w:pPr>
        <w:pStyle w:val="ListParagraph"/>
        <w:numPr>
          <w:ilvl w:val="0"/>
          <w:numId w:val="21"/>
        </w:numPr>
        <w:tabs>
          <w:tab w:val="left" w:pos="360"/>
        </w:tabs>
        <w:ind w:left="0" w:right="-334" w:firstLine="0"/>
        <w:rPr>
          <w:bCs/>
        </w:rPr>
      </w:pPr>
      <w:r w:rsidRPr="00EC615D">
        <w:rPr>
          <w:b/>
        </w:rPr>
        <w:t>Preparedness for pushback</w:t>
      </w:r>
      <w:r>
        <w:rPr>
          <w:bCs/>
        </w:rPr>
        <w:t xml:space="preserve"> – </w:t>
      </w:r>
      <w:r w:rsidR="0030104D" w:rsidRPr="00D460C4">
        <w:rPr>
          <w:bCs/>
        </w:rPr>
        <w:t>An</w:t>
      </w:r>
      <w:r w:rsidR="00F720CD" w:rsidRPr="00D460C4">
        <w:rPr>
          <w:bCs/>
        </w:rPr>
        <w:t xml:space="preserve">other </w:t>
      </w:r>
      <w:r w:rsidR="0030104D" w:rsidRPr="00D460C4">
        <w:rPr>
          <w:bCs/>
        </w:rPr>
        <w:t>important challenge we now recognize</w:t>
      </w:r>
      <w:r w:rsidR="00F720CD" w:rsidRPr="00D460C4">
        <w:rPr>
          <w:bCs/>
        </w:rPr>
        <w:t xml:space="preserve"> in supporting Article 12 work </w:t>
      </w:r>
      <w:r w:rsidR="0030104D" w:rsidRPr="00D460C4">
        <w:rPr>
          <w:bCs/>
        </w:rPr>
        <w:t>is that c</w:t>
      </w:r>
      <w:r w:rsidR="00645D5A" w:rsidRPr="00D460C4">
        <w:rPr>
          <w:bCs/>
        </w:rPr>
        <w:t xml:space="preserve">hanges </w:t>
      </w:r>
      <w:r w:rsidR="00656674" w:rsidRPr="00D460C4">
        <w:rPr>
          <w:bCs/>
        </w:rPr>
        <w:t>underway</w:t>
      </w:r>
      <w:r w:rsidR="00645D5A" w:rsidRPr="00D460C4">
        <w:rPr>
          <w:bCs/>
        </w:rPr>
        <w:t xml:space="preserve"> as a result of our partners’ legal capacity reform projects have triggered pushback from parties with a stake in the current paradigm. </w:t>
      </w:r>
      <w:r w:rsidR="0030104D" w:rsidRPr="00D460C4">
        <w:rPr>
          <w:bCs/>
        </w:rPr>
        <w:t>I</w:t>
      </w:r>
      <w:r w:rsidR="00645D5A" w:rsidRPr="00D460C4">
        <w:rPr>
          <w:bCs/>
        </w:rPr>
        <w:t xml:space="preserve">n Bulgaria, parallel to generating impressive links with the judiciary, our partners’ growing impact </w:t>
      </w:r>
      <w:r w:rsidR="0030104D" w:rsidRPr="00D460C4">
        <w:rPr>
          <w:bCs/>
        </w:rPr>
        <w:t xml:space="preserve">has </w:t>
      </w:r>
      <w:r w:rsidR="00645D5A" w:rsidRPr="00D460C4">
        <w:rPr>
          <w:bCs/>
        </w:rPr>
        <w:t xml:space="preserve">led a cohort of law professors and legal clinical students to issue a </w:t>
      </w:r>
      <w:r w:rsidR="000060EC" w:rsidRPr="00D460C4">
        <w:rPr>
          <w:bCs/>
        </w:rPr>
        <w:t xml:space="preserve">negative </w:t>
      </w:r>
      <w:r w:rsidR="00645D5A" w:rsidRPr="00D460C4">
        <w:rPr>
          <w:bCs/>
        </w:rPr>
        <w:t xml:space="preserve">legal </w:t>
      </w:r>
      <w:r w:rsidR="003A3FD2" w:rsidRPr="00D460C4">
        <w:rPr>
          <w:bCs/>
        </w:rPr>
        <w:t xml:space="preserve">opinion </w:t>
      </w:r>
      <w:r w:rsidR="00645D5A" w:rsidRPr="00D460C4">
        <w:rPr>
          <w:bCs/>
        </w:rPr>
        <w:t xml:space="preserve">about the feasibility of the endeavor. </w:t>
      </w:r>
      <w:r w:rsidR="004710D9" w:rsidRPr="00D460C4">
        <w:rPr>
          <w:bCs/>
        </w:rPr>
        <w:t>Undoubtedly,</w:t>
      </w:r>
      <w:r w:rsidR="00C830D9" w:rsidRPr="00D460C4">
        <w:rPr>
          <w:bCs/>
        </w:rPr>
        <w:t xml:space="preserve"> </w:t>
      </w:r>
      <w:r w:rsidR="004710D9" w:rsidRPr="00D460C4">
        <w:rPr>
          <w:bCs/>
        </w:rPr>
        <w:t>this</w:t>
      </w:r>
      <w:r w:rsidR="00645D5A" w:rsidRPr="00D460C4">
        <w:rPr>
          <w:bCs/>
        </w:rPr>
        <w:t xml:space="preserve"> kind of pushback was </w:t>
      </w:r>
      <w:r w:rsidR="004710D9" w:rsidRPr="00D460C4">
        <w:rPr>
          <w:bCs/>
        </w:rPr>
        <w:t xml:space="preserve">not </w:t>
      </w:r>
      <w:r w:rsidR="00645D5A" w:rsidRPr="00D460C4">
        <w:rPr>
          <w:bCs/>
        </w:rPr>
        <w:t xml:space="preserve">factored into </w:t>
      </w:r>
      <w:r w:rsidR="004710D9" w:rsidRPr="00D460C4">
        <w:rPr>
          <w:bCs/>
        </w:rPr>
        <w:t xml:space="preserve">our partner’s </w:t>
      </w:r>
      <w:r w:rsidR="00645D5A" w:rsidRPr="00D460C4">
        <w:rPr>
          <w:bCs/>
        </w:rPr>
        <w:t>strateg</w:t>
      </w:r>
      <w:r w:rsidR="004A042A" w:rsidRPr="00D460C4">
        <w:rPr>
          <w:bCs/>
        </w:rPr>
        <w:t>ies</w:t>
      </w:r>
      <w:r w:rsidR="004710D9" w:rsidRPr="00D460C4">
        <w:rPr>
          <w:bCs/>
        </w:rPr>
        <w:t xml:space="preserve">; and in our review of proposals, not anticipating the kind of opposition reform efforts could face, </w:t>
      </w:r>
      <w:r w:rsidR="004A042A" w:rsidRPr="00D460C4">
        <w:rPr>
          <w:bCs/>
        </w:rPr>
        <w:t xml:space="preserve">we </w:t>
      </w:r>
      <w:r w:rsidR="004710D9" w:rsidRPr="00D460C4">
        <w:rPr>
          <w:bCs/>
        </w:rPr>
        <w:t xml:space="preserve">did not require potential grantees to </w:t>
      </w:r>
      <w:r w:rsidR="004A042A" w:rsidRPr="00D460C4">
        <w:rPr>
          <w:bCs/>
        </w:rPr>
        <w:t>include activities that would</w:t>
      </w:r>
      <w:r w:rsidR="004710D9" w:rsidRPr="00D460C4">
        <w:rPr>
          <w:bCs/>
        </w:rPr>
        <w:t xml:space="preserve"> </w:t>
      </w:r>
      <w:r w:rsidR="004A042A" w:rsidRPr="00D460C4">
        <w:rPr>
          <w:bCs/>
        </w:rPr>
        <w:t>counter this opposition convincingly</w:t>
      </w:r>
      <w:r w:rsidR="00645D5A" w:rsidRPr="00D460C4">
        <w:rPr>
          <w:bCs/>
        </w:rPr>
        <w:t xml:space="preserve">. </w:t>
      </w:r>
    </w:p>
    <w:p w:rsidR="00D460C4" w:rsidRPr="00D460C4" w:rsidRDefault="00D460C4" w:rsidP="009415DC">
      <w:pPr>
        <w:pStyle w:val="ListParagraph"/>
        <w:tabs>
          <w:tab w:val="left" w:pos="360"/>
        </w:tabs>
        <w:ind w:left="0" w:right="-334"/>
        <w:rPr>
          <w:bCs/>
          <w:sz w:val="12"/>
          <w:szCs w:val="12"/>
        </w:rPr>
      </w:pPr>
    </w:p>
    <w:p w:rsidR="00302757" w:rsidRPr="00D460C4" w:rsidRDefault="00EC615D" w:rsidP="009415DC">
      <w:pPr>
        <w:pStyle w:val="ListParagraph"/>
        <w:numPr>
          <w:ilvl w:val="0"/>
          <w:numId w:val="21"/>
        </w:numPr>
        <w:tabs>
          <w:tab w:val="left" w:pos="360"/>
        </w:tabs>
        <w:ind w:left="0" w:right="-334" w:firstLine="0"/>
        <w:rPr>
          <w:bCs/>
        </w:rPr>
      </w:pPr>
      <w:r>
        <w:rPr>
          <w:b/>
        </w:rPr>
        <w:t>Ensuring l</w:t>
      </w:r>
      <w:r w:rsidR="00D460C4" w:rsidRPr="00EC615D">
        <w:rPr>
          <w:b/>
        </w:rPr>
        <w:t>earning and materials within reach</w:t>
      </w:r>
      <w:r w:rsidR="00D460C4">
        <w:rPr>
          <w:bCs/>
        </w:rPr>
        <w:t xml:space="preserve"> – </w:t>
      </w:r>
      <w:r w:rsidR="00070F9A" w:rsidRPr="00D460C4">
        <w:rPr>
          <w:bCs/>
        </w:rPr>
        <w:t xml:space="preserve">Finally, </w:t>
      </w:r>
      <w:r w:rsidR="006E01FD" w:rsidRPr="00D460C4">
        <w:rPr>
          <w:bCs/>
        </w:rPr>
        <w:t xml:space="preserve">we </w:t>
      </w:r>
      <w:r w:rsidR="00027741" w:rsidRPr="00D460C4">
        <w:rPr>
          <w:bCs/>
        </w:rPr>
        <w:t xml:space="preserve">have </w:t>
      </w:r>
      <w:r w:rsidR="000E531B" w:rsidRPr="00D460C4">
        <w:rPr>
          <w:bCs/>
        </w:rPr>
        <w:t xml:space="preserve">not </w:t>
      </w:r>
      <w:r w:rsidR="00027741" w:rsidRPr="00D460C4">
        <w:rPr>
          <w:bCs/>
        </w:rPr>
        <w:t xml:space="preserve">managed to make the learning and experience gained through the projects we support available and accessible to </w:t>
      </w:r>
      <w:r w:rsidR="000E531B" w:rsidRPr="00D460C4">
        <w:rPr>
          <w:bCs/>
        </w:rPr>
        <w:t>all but</w:t>
      </w:r>
      <w:r w:rsidR="00027741" w:rsidRPr="00D460C4">
        <w:rPr>
          <w:bCs/>
        </w:rPr>
        <w:t xml:space="preserve"> a narrow segment of activists. Those whom the message reaches happen to be in touch directly with us or in close contact with our partners. </w:t>
      </w:r>
      <w:r w:rsidR="00302757" w:rsidRPr="00D460C4">
        <w:rPr>
          <w:bCs/>
        </w:rPr>
        <w:t xml:space="preserve">There is no repository of the latest developments from around the world. There </w:t>
      </w:r>
      <w:r w:rsidR="000060EC" w:rsidRPr="00D460C4">
        <w:rPr>
          <w:bCs/>
        </w:rPr>
        <w:t xml:space="preserve">is </w:t>
      </w:r>
      <w:r w:rsidR="005210CD" w:rsidRPr="00D460C4">
        <w:rPr>
          <w:bCs/>
        </w:rPr>
        <w:t>still no</w:t>
      </w:r>
      <w:r w:rsidR="00302757" w:rsidRPr="00D460C4">
        <w:rPr>
          <w:bCs/>
        </w:rPr>
        <w:t xml:space="preserve"> place where a budding activist, currently disconnected from the small communities of practice, </w:t>
      </w:r>
      <w:r w:rsidR="005210CD" w:rsidRPr="00D460C4">
        <w:rPr>
          <w:bCs/>
        </w:rPr>
        <w:t>could turn</w:t>
      </w:r>
      <w:r w:rsidR="00302757" w:rsidRPr="00D460C4">
        <w:rPr>
          <w:bCs/>
        </w:rPr>
        <w:t xml:space="preserve"> </w:t>
      </w:r>
      <w:r w:rsidR="00F720CD" w:rsidRPr="00D460C4">
        <w:rPr>
          <w:bCs/>
        </w:rPr>
        <w:t xml:space="preserve">to </w:t>
      </w:r>
      <w:r w:rsidR="000060EC" w:rsidRPr="00D460C4">
        <w:rPr>
          <w:bCs/>
        </w:rPr>
        <w:t xml:space="preserve">access </w:t>
      </w:r>
      <w:r w:rsidR="00302757" w:rsidRPr="00D460C4">
        <w:rPr>
          <w:bCs/>
        </w:rPr>
        <w:t xml:space="preserve">accumulated guidance on </w:t>
      </w:r>
      <w:r w:rsidR="00F720CD" w:rsidRPr="00D460C4">
        <w:rPr>
          <w:bCs/>
        </w:rPr>
        <w:t xml:space="preserve">developing pilots or </w:t>
      </w:r>
      <w:r w:rsidR="00302757" w:rsidRPr="00D460C4">
        <w:rPr>
          <w:bCs/>
        </w:rPr>
        <w:t xml:space="preserve">driving legislative reform. </w:t>
      </w:r>
    </w:p>
    <w:p w:rsidR="002310D3" w:rsidRPr="00EC615D" w:rsidRDefault="002310D3" w:rsidP="009415DC">
      <w:pPr>
        <w:ind w:right="-334"/>
        <w:rPr>
          <w:bCs/>
          <w:u w:val="single"/>
        </w:rPr>
      </w:pPr>
      <w:r w:rsidRPr="00EC615D">
        <w:rPr>
          <w:b/>
          <w:u w:val="single"/>
        </w:rPr>
        <w:t>Adjustments to the portfolio</w:t>
      </w:r>
    </w:p>
    <w:p w:rsidR="00F55EB1" w:rsidRPr="00F55EB1" w:rsidRDefault="00332482" w:rsidP="009415DC">
      <w:pPr>
        <w:ind w:right="-334"/>
        <w:rPr>
          <w:bCs/>
        </w:rPr>
      </w:pPr>
      <w:r w:rsidRPr="00F24575">
        <w:rPr>
          <w:rStyle w:val="SubtleEmphasis"/>
          <w:i w:val="0"/>
          <w:iCs w:val="0"/>
          <w:color w:val="auto"/>
        </w:rPr>
        <w:t>A</w:t>
      </w:r>
      <w:r w:rsidR="00F55EB1" w:rsidRPr="00F24575">
        <w:rPr>
          <w:rStyle w:val="SubtleEmphasis"/>
          <w:i w:val="0"/>
          <w:iCs w:val="0"/>
          <w:color w:val="auto"/>
        </w:rPr>
        <w:t xml:space="preserve">n obvious adjustment is </w:t>
      </w:r>
      <w:r w:rsidR="00F55EB1" w:rsidRPr="00F24575">
        <w:t xml:space="preserve">a </w:t>
      </w:r>
      <w:r w:rsidR="00F55EB1" w:rsidRPr="00F24575">
        <w:rPr>
          <w:b/>
          <w:bCs/>
        </w:rPr>
        <w:t xml:space="preserve">much stronger emphasis in each of our projects on the messaging of Article 12, </w:t>
      </w:r>
      <w:r w:rsidR="00F55EB1" w:rsidRPr="00F24575">
        <w:t>and requesting that our grantees devote a part of their project</w:t>
      </w:r>
      <w:r w:rsidR="005210CD" w:rsidRPr="00F24575">
        <w:t>s</w:t>
      </w:r>
      <w:r w:rsidR="001177B8" w:rsidRPr="00F24575">
        <w:t xml:space="preserve"> </w:t>
      </w:r>
      <w:r w:rsidR="00F55EB1" w:rsidRPr="00F24575">
        <w:t>to creating an accessible</w:t>
      </w:r>
      <w:r w:rsidR="000060EC" w:rsidRPr="00F24575">
        <w:t xml:space="preserve"> and </w:t>
      </w:r>
      <w:r w:rsidR="006E01FD" w:rsidRPr="00F24575">
        <w:t>compelling</w:t>
      </w:r>
      <w:r w:rsidR="00F55EB1" w:rsidRPr="00F24575">
        <w:t xml:space="preserve"> iter</w:t>
      </w:r>
      <w:r w:rsidR="006E01FD" w:rsidRPr="00F24575">
        <w:t>ation of what legal capacity is</w:t>
      </w:r>
      <w:r w:rsidR="00F55EB1" w:rsidRPr="00F24575">
        <w:t xml:space="preserve"> that can be used with various audiences.</w:t>
      </w:r>
      <w:r w:rsidR="00F55EB1" w:rsidRPr="00F55EB1">
        <w:rPr>
          <w:bCs/>
        </w:rPr>
        <w:t xml:space="preserve"> </w:t>
      </w:r>
      <w:r w:rsidR="00F55EB1">
        <w:rPr>
          <w:bCs/>
        </w:rPr>
        <w:t>Internally, w</w:t>
      </w:r>
      <w:r w:rsidR="00F55EB1" w:rsidRPr="00F55EB1">
        <w:rPr>
          <w:bCs/>
        </w:rPr>
        <w:t xml:space="preserve">e </w:t>
      </w:r>
      <w:r w:rsidR="00F55EB1">
        <w:rPr>
          <w:bCs/>
        </w:rPr>
        <w:t xml:space="preserve">are delighted by </w:t>
      </w:r>
      <w:r>
        <w:rPr>
          <w:bCs/>
        </w:rPr>
        <w:t xml:space="preserve">a growing </w:t>
      </w:r>
      <w:r w:rsidR="00F55EB1">
        <w:rPr>
          <w:bCs/>
        </w:rPr>
        <w:t xml:space="preserve">collaboration with </w:t>
      </w:r>
      <w:r w:rsidR="000060EC">
        <w:rPr>
          <w:bCs/>
        </w:rPr>
        <w:t>our C</w:t>
      </w:r>
      <w:r w:rsidR="00F55EB1">
        <w:rPr>
          <w:bCs/>
        </w:rPr>
        <w:t xml:space="preserve">ommunications </w:t>
      </w:r>
      <w:r w:rsidR="000060EC">
        <w:rPr>
          <w:bCs/>
        </w:rPr>
        <w:t xml:space="preserve">team </w:t>
      </w:r>
      <w:r>
        <w:rPr>
          <w:bCs/>
        </w:rPr>
        <w:t>to showcase the exciting developments on global disability rights and the work carried out by our grantees. The</w:t>
      </w:r>
      <w:r w:rsidR="001177B8">
        <w:rPr>
          <w:bCs/>
        </w:rPr>
        <w:t xml:space="preserve">ir </w:t>
      </w:r>
      <w:r>
        <w:rPr>
          <w:bCs/>
        </w:rPr>
        <w:t>ideas, input</w:t>
      </w:r>
      <w:r w:rsidR="000060EC">
        <w:rPr>
          <w:bCs/>
        </w:rPr>
        <w:t>,</w:t>
      </w:r>
      <w:r>
        <w:rPr>
          <w:bCs/>
        </w:rPr>
        <w:t xml:space="preserve"> and expertise </w:t>
      </w:r>
      <w:r w:rsidR="000060EC">
        <w:rPr>
          <w:bCs/>
        </w:rPr>
        <w:t xml:space="preserve">will </w:t>
      </w:r>
      <w:r>
        <w:rPr>
          <w:bCs/>
        </w:rPr>
        <w:t xml:space="preserve">be invaluable to us in developing our thinking about Article 12 communication. </w:t>
      </w:r>
      <w:r w:rsidR="00E245DE">
        <w:rPr>
          <w:bCs/>
        </w:rPr>
        <w:t xml:space="preserve">They have already expressed </w:t>
      </w:r>
      <w:r>
        <w:rPr>
          <w:bCs/>
        </w:rPr>
        <w:t xml:space="preserve">enthusiastic </w:t>
      </w:r>
      <w:r w:rsidR="00E245DE">
        <w:rPr>
          <w:bCs/>
        </w:rPr>
        <w:t>support for</w:t>
      </w:r>
      <w:r>
        <w:rPr>
          <w:bCs/>
        </w:rPr>
        <w:t xml:space="preserve"> the idea of </w:t>
      </w:r>
      <w:r w:rsidR="000060EC">
        <w:rPr>
          <w:bCs/>
        </w:rPr>
        <w:t xml:space="preserve">working together to elevate our work </w:t>
      </w:r>
      <w:r>
        <w:rPr>
          <w:bCs/>
        </w:rPr>
        <w:t xml:space="preserve">on this issue. </w:t>
      </w:r>
    </w:p>
    <w:p w:rsidR="002310D3" w:rsidRPr="00287DB7" w:rsidRDefault="002310D3" w:rsidP="009415DC">
      <w:pPr>
        <w:ind w:right="-334"/>
        <w:rPr>
          <w:rStyle w:val="SubtleEmphasis"/>
          <w:i w:val="0"/>
          <w:iCs w:val="0"/>
          <w:color w:val="auto"/>
        </w:rPr>
      </w:pPr>
      <w:r w:rsidRPr="00287DB7">
        <w:rPr>
          <w:rStyle w:val="SubtleEmphasis"/>
          <w:i w:val="0"/>
          <w:iCs w:val="0"/>
          <w:color w:val="auto"/>
        </w:rPr>
        <w:t xml:space="preserve">With the aim of </w:t>
      </w:r>
      <w:r w:rsidR="005210CD">
        <w:rPr>
          <w:rStyle w:val="SubtleEmphasis"/>
          <w:i w:val="0"/>
          <w:iCs w:val="0"/>
          <w:color w:val="auto"/>
        </w:rPr>
        <w:t>instigating</w:t>
      </w:r>
      <w:r w:rsidRPr="00287DB7">
        <w:rPr>
          <w:rStyle w:val="SubtleEmphasis"/>
          <w:i w:val="0"/>
          <w:iCs w:val="0"/>
          <w:color w:val="auto"/>
        </w:rPr>
        <w:t xml:space="preserve"> additional broad reform processes, </w:t>
      </w:r>
      <w:r w:rsidR="00F61A4E" w:rsidRPr="00F24575">
        <w:rPr>
          <w:rStyle w:val="SubtleEmphasis"/>
          <w:b/>
          <w:bCs/>
          <w:i w:val="0"/>
          <w:iCs w:val="0"/>
          <w:color w:val="auto"/>
        </w:rPr>
        <w:t xml:space="preserve">we are </w:t>
      </w:r>
      <w:r w:rsidRPr="00F24575">
        <w:rPr>
          <w:rStyle w:val="SubtleEmphasis"/>
          <w:b/>
          <w:bCs/>
          <w:i w:val="0"/>
          <w:iCs w:val="0"/>
          <w:color w:val="auto"/>
        </w:rPr>
        <w:t>converging toward clustered funding for national-level reform</w:t>
      </w:r>
      <w:r>
        <w:rPr>
          <w:rStyle w:val="SubtleEmphasis"/>
          <w:i w:val="0"/>
          <w:iCs w:val="0"/>
          <w:color w:val="auto"/>
        </w:rPr>
        <w:t xml:space="preserve"> where capacity and opportunity exist</w:t>
      </w:r>
      <w:r w:rsidRPr="00287DB7">
        <w:rPr>
          <w:rStyle w:val="SubtleEmphasis"/>
          <w:i w:val="0"/>
          <w:iCs w:val="0"/>
          <w:color w:val="auto"/>
        </w:rPr>
        <w:t xml:space="preserve">. </w:t>
      </w:r>
      <w:r w:rsidR="005210CD">
        <w:rPr>
          <w:rStyle w:val="SubtleEmphasis"/>
          <w:i w:val="0"/>
          <w:iCs w:val="0"/>
          <w:color w:val="auto"/>
        </w:rPr>
        <w:t>This</w:t>
      </w:r>
      <w:r w:rsidR="005210CD" w:rsidRPr="00287DB7">
        <w:rPr>
          <w:rStyle w:val="SubtleEmphasis"/>
          <w:i w:val="0"/>
          <w:iCs w:val="0"/>
          <w:color w:val="auto"/>
        </w:rPr>
        <w:t xml:space="preserve"> </w:t>
      </w:r>
      <w:r w:rsidR="005210CD">
        <w:rPr>
          <w:rStyle w:val="SubtleEmphasis"/>
          <w:i w:val="0"/>
          <w:iCs w:val="0"/>
          <w:color w:val="auto"/>
        </w:rPr>
        <w:t>entails</w:t>
      </w:r>
      <w:r w:rsidR="005210CD" w:rsidRPr="00287DB7">
        <w:rPr>
          <w:rStyle w:val="SubtleEmphasis"/>
          <w:i w:val="0"/>
          <w:iCs w:val="0"/>
          <w:color w:val="auto"/>
        </w:rPr>
        <w:t xml:space="preserve"> </w:t>
      </w:r>
      <w:r w:rsidRPr="00287DB7">
        <w:rPr>
          <w:rStyle w:val="SubtleEmphasis"/>
          <w:i w:val="0"/>
          <w:iCs w:val="0"/>
          <w:color w:val="auto"/>
        </w:rPr>
        <w:t>identifying where law and policy advocacy calls for the addition of pilot-building, or where a research component would greatly enhance the potential to scale up a model</w:t>
      </w:r>
      <w:r>
        <w:rPr>
          <w:rStyle w:val="SubtleEmphasis"/>
          <w:i w:val="0"/>
          <w:iCs w:val="0"/>
          <w:color w:val="auto"/>
        </w:rPr>
        <w:t xml:space="preserve">, </w:t>
      </w:r>
      <w:r w:rsidR="00ED477B">
        <w:rPr>
          <w:rStyle w:val="SubtleEmphasis"/>
          <w:i w:val="0"/>
          <w:iCs w:val="0"/>
          <w:color w:val="auto"/>
        </w:rPr>
        <w:t xml:space="preserve">or even </w:t>
      </w:r>
      <w:r>
        <w:rPr>
          <w:rStyle w:val="SubtleEmphasis"/>
          <w:i w:val="0"/>
          <w:iCs w:val="0"/>
          <w:color w:val="auto"/>
        </w:rPr>
        <w:t xml:space="preserve">just linking between actors in the same country to consolidate their separate work into an aligned process. </w:t>
      </w:r>
      <w:r w:rsidRPr="00287DB7">
        <w:rPr>
          <w:rStyle w:val="SubtleEmphasis"/>
          <w:i w:val="0"/>
          <w:iCs w:val="0"/>
          <w:color w:val="auto"/>
        </w:rPr>
        <w:t xml:space="preserve">Indeed, we are </w:t>
      </w:r>
      <w:r w:rsidR="00332482">
        <w:rPr>
          <w:rStyle w:val="SubtleEmphasis"/>
          <w:i w:val="0"/>
          <w:iCs w:val="0"/>
          <w:color w:val="auto"/>
        </w:rPr>
        <w:t xml:space="preserve">already </w:t>
      </w:r>
      <w:r w:rsidRPr="00287DB7">
        <w:rPr>
          <w:rStyle w:val="SubtleEmphasis"/>
          <w:i w:val="0"/>
          <w:iCs w:val="0"/>
          <w:color w:val="auto"/>
        </w:rPr>
        <w:t xml:space="preserve">soliciting or approving grants </w:t>
      </w:r>
      <w:r>
        <w:rPr>
          <w:rStyle w:val="SubtleEmphasis"/>
          <w:i w:val="0"/>
          <w:iCs w:val="0"/>
          <w:color w:val="auto"/>
        </w:rPr>
        <w:t xml:space="preserve">that will yield </w:t>
      </w:r>
      <w:r w:rsidR="001177B8">
        <w:rPr>
          <w:rStyle w:val="SubtleEmphasis"/>
          <w:i w:val="0"/>
          <w:iCs w:val="0"/>
          <w:color w:val="auto"/>
        </w:rPr>
        <w:t xml:space="preserve">broader </w:t>
      </w:r>
      <w:r w:rsidRPr="00287DB7">
        <w:rPr>
          <w:rStyle w:val="SubtleEmphasis"/>
          <w:i w:val="0"/>
          <w:iCs w:val="0"/>
          <w:color w:val="auto"/>
        </w:rPr>
        <w:t>reform process</w:t>
      </w:r>
      <w:r>
        <w:rPr>
          <w:rStyle w:val="SubtleEmphasis"/>
          <w:i w:val="0"/>
          <w:iCs w:val="0"/>
          <w:color w:val="auto"/>
        </w:rPr>
        <w:t>es</w:t>
      </w:r>
      <w:r w:rsidRPr="00287DB7">
        <w:rPr>
          <w:rStyle w:val="SubtleEmphasis"/>
          <w:i w:val="0"/>
          <w:iCs w:val="0"/>
          <w:color w:val="auto"/>
        </w:rPr>
        <w:t xml:space="preserve"> in Zambia, Kenya</w:t>
      </w:r>
      <w:r w:rsidR="00332482">
        <w:rPr>
          <w:rStyle w:val="SubtleEmphasis"/>
          <w:i w:val="0"/>
          <w:iCs w:val="0"/>
          <w:color w:val="auto"/>
        </w:rPr>
        <w:t>,</w:t>
      </w:r>
      <w:r w:rsidRPr="00287DB7">
        <w:rPr>
          <w:rStyle w:val="SubtleEmphasis"/>
          <w:i w:val="0"/>
          <w:iCs w:val="0"/>
          <w:color w:val="auto"/>
        </w:rPr>
        <w:t xml:space="preserve"> Latvia, Colombia</w:t>
      </w:r>
      <w:r w:rsidR="00332482">
        <w:rPr>
          <w:rStyle w:val="SubtleEmphasis"/>
          <w:i w:val="0"/>
          <w:iCs w:val="0"/>
          <w:color w:val="auto"/>
        </w:rPr>
        <w:t>,</w:t>
      </w:r>
      <w:r w:rsidRPr="00287DB7">
        <w:rPr>
          <w:rStyle w:val="SubtleEmphasis"/>
          <w:i w:val="0"/>
          <w:iCs w:val="0"/>
          <w:color w:val="auto"/>
        </w:rPr>
        <w:t xml:space="preserve"> </w:t>
      </w:r>
      <w:r w:rsidR="005210CD">
        <w:rPr>
          <w:rStyle w:val="SubtleEmphasis"/>
          <w:i w:val="0"/>
          <w:iCs w:val="0"/>
          <w:color w:val="auto"/>
        </w:rPr>
        <w:t xml:space="preserve">Peru, </w:t>
      </w:r>
      <w:r w:rsidRPr="00287DB7">
        <w:rPr>
          <w:rStyle w:val="SubtleEmphasis"/>
          <w:i w:val="0"/>
          <w:iCs w:val="0"/>
          <w:color w:val="auto"/>
        </w:rPr>
        <w:t>and Argentina</w:t>
      </w:r>
      <w:r w:rsidR="00332482">
        <w:rPr>
          <w:rStyle w:val="SubtleEmphasis"/>
          <w:i w:val="0"/>
          <w:iCs w:val="0"/>
          <w:color w:val="auto"/>
        </w:rPr>
        <w:t>.</w:t>
      </w:r>
      <w:r w:rsidRPr="00287DB7">
        <w:rPr>
          <w:rStyle w:val="SubtleEmphasis"/>
          <w:i w:val="0"/>
          <w:iCs w:val="0"/>
          <w:color w:val="auto"/>
        </w:rPr>
        <w:t xml:space="preserve"> </w:t>
      </w:r>
      <w:r w:rsidR="00645D5A">
        <w:rPr>
          <w:rStyle w:val="SubtleEmphasis"/>
          <w:i w:val="0"/>
          <w:iCs w:val="0"/>
          <w:color w:val="auto"/>
        </w:rPr>
        <w:t xml:space="preserve">In communicating over renewals of support for existing reform processes, we will </w:t>
      </w:r>
      <w:r w:rsidR="009E7FB0">
        <w:rPr>
          <w:rStyle w:val="SubtleEmphasis"/>
          <w:i w:val="0"/>
          <w:iCs w:val="0"/>
          <w:color w:val="auto"/>
        </w:rPr>
        <w:t xml:space="preserve">ask our partners to elucidate their strategy for the </w:t>
      </w:r>
      <w:r w:rsidR="00645D5A">
        <w:rPr>
          <w:rStyle w:val="SubtleEmphasis"/>
          <w:i w:val="0"/>
          <w:iCs w:val="0"/>
          <w:color w:val="auto"/>
        </w:rPr>
        <w:t>small-scale pilots involving 20, 30, or 100 indi</w:t>
      </w:r>
      <w:r w:rsidR="009E7FB0">
        <w:rPr>
          <w:rStyle w:val="SubtleEmphasis"/>
          <w:i w:val="0"/>
          <w:iCs w:val="0"/>
          <w:color w:val="auto"/>
        </w:rPr>
        <w:t>viduals, and what it means to scale them up.</w:t>
      </w:r>
    </w:p>
    <w:p w:rsidR="001177B8" w:rsidRDefault="001177B8" w:rsidP="009415DC">
      <w:pPr>
        <w:ind w:right="-334"/>
        <w:rPr>
          <w:bCs/>
        </w:rPr>
      </w:pPr>
      <w:r>
        <w:rPr>
          <w:bCs/>
        </w:rPr>
        <w:t xml:space="preserve">Within these processes, we must </w:t>
      </w:r>
      <w:r w:rsidRPr="00F24575">
        <w:rPr>
          <w:b/>
        </w:rPr>
        <w:t xml:space="preserve">take a closer look at methodology to support individuals </w:t>
      </w:r>
      <w:r w:rsidR="002C0674" w:rsidRPr="00F24575">
        <w:rPr>
          <w:b/>
        </w:rPr>
        <w:t xml:space="preserve">with psychosocial disabilities </w:t>
      </w:r>
      <w:r w:rsidR="002C0674" w:rsidRPr="00F24575">
        <w:rPr>
          <w:bCs/>
        </w:rPr>
        <w:t>and use successful examples from projects we support to inform others</w:t>
      </w:r>
      <w:r w:rsidR="002C0674">
        <w:rPr>
          <w:bCs/>
        </w:rPr>
        <w:t xml:space="preserve">. </w:t>
      </w:r>
      <w:r>
        <w:rPr>
          <w:bCs/>
        </w:rPr>
        <w:t xml:space="preserve">Absent sufficient capacity of the World Network of Users and Survivors of Psychiatry, we should </w:t>
      </w:r>
      <w:r w:rsidR="00D460C4">
        <w:rPr>
          <w:bCs/>
        </w:rPr>
        <w:t xml:space="preserve">increase the </w:t>
      </w:r>
      <w:r>
        <w:rPr>
          <w:bCs/>
        </w:rPr>
        <w:t>involve</w:t>
      </w:r>
      <w:r w:rsidR="00D460C4">
        <w:rPr>
          <w:bCs/>
        </w:rPr>
        <w:t>ment of</w:t>
      </w:r>
      <w:r>
        <w:rPr>
          <w:bCs/>
        </w:rPr>
        <w:t xml:space="preserve"> experts and organizations affiliated with the </w:t>
      </w:r>
      <w:r w:rsidR="005210CD">
        <w:rPr>
          <w:bCs/>
        </w:rPr>
        <w:t>W</w:t>
      </w:r>
      <w:r>
        <w:rPr>
          <w:bCs/>
        </w:rPr>
        <w:t xml:space="preserve">orld </w:t>
      </w:r>
      <w:r w:rsidR="005210CD">
        <w:rPr>
          <w:bCs/>
        </w:rPr>
        <w:t>N</w:t>
      </w:r>
      <w:r>
        <w:rPr>
          <w:bCs/>
        </w:rPr>
        <w:t>etwork.</w:t>
      </w:r>
    </w:p>
    <w:p w:rsidR="002310D3" w:rsidRPr="00332482" w:rsidRDefault="00332482" w:rsidP="009415DC">
      <w:pPr>
        <w:ind w:right="-334"/>
        <w:rPr>
          <w:bCs/>
        </w:rPr>
      </w:pPr>
      <w:r>
        <w:rPr>
          <w:bCs/>
        </w:rPr>
        <w:t>Looking forward, w</w:t>
      </w:r>
      <w:r w:rsidR="002310D3" w:rsidRPr="00332482">
        <w:rPr>
          <w:bCs/>
        </w:rPr>
        <w:t xml:space="preserve">e </w:t>
      </w:r>
      <w:r>
        <w:rPr>
          <w:bCs/>
        </w:rPr>
        <w:t xml:space="preserve">will </w:t>
      </w:r>
      <w:r w:rsidR="002310D3" w:rsidRPr="00F24575">
        <w:rPr>
          <w:b/>
        </w:rPr>
        <w:t>prioritize searching for an appropriate partner to work on the intersection of legal capacity and older persons</w:t>
      </w:r>
      <w:r w:rsidR="002310D3" w:rsidRPr="00332482">
        <w:rPr>
          <w:bCs/>
        </w:rPr>
        <w:t>.</w:t>
      </w:r>
      <w:r w:rsidR="00BD6EB8">
        <w:rPr>
          <w:bCs/>
        </w:rPr>
        <w:t xml:space="preserve"> Pursuant </w:t>
      </w:r>
      <w:r w:rsidR="00532620">
        <w:rPr>
          <w:bCs/>
        </w:rPr>
        <w:t xml:space="preserve">to the lessons we have learned about the importance of developing practice, an initial </w:t>
      </w:r>
      <w:r w:rsidR="006E01FD">
        <w:rPr>
          <w:bCs/>
        </w:rPr>
        <w:t xml:space="preserve">step may be supporting a pilot of supported decision-making involving older persons. </w:t>
      </w:r>
    </w:p>
    <w:p w:rsidR="002310D3" w:rsidRPr="00EC615D" w:rsidRDefault="002310D3" w:rsidP="009415DC">
      <w:pPr>
        <w:ind w:right="-334"/>
        <w:rPr>
          <w:bCs/>
          <w:u w:val="single"/>
        </w:rPr>
      </w:pPr>
      <w:r w:rsidRPr="00EC615D">
        <w:rPr>
          <w:b/>
          <w:u w:val="single"/>
        </w:rPr>
        <w:t>Key questions</w:t>
      </w:r>
    </w:p>
    <w:p w:rsidR="002310D3" w:rsidRPr="00D460C4" w:rsidRDefault="00F55EB1" w:rsidP="009415DC">
      <w:pPr>
        <w:pStyle w:val="ListParagraph"/>
        <w:numPr>
          <w:ilvl w:val="0"/>
          <w:numId w:val="24"/>
        </w:numPr>
        <w:ind w:right="-334"/>
        <w:rPr>
          <w:bCs/>
        </w:rPr>
      </w:pPr>
      <w:r w:rsidRPr="00F24575">
        <w:rPr>
          <w:b/>
        </w:rPr>
        <w:t>Adequate representation of constituencies and perspectives</w:t>
      </w:r>
      <w:r w:rsidRPr="00D460C4">
        <w:rPr>
          <w:bCs/>
        </w:rPr>
        <w:t xml:space="preserve"> – H</w:t>
      </w:r>
      <w:r w:rsidR="002310D3" w:rsidRPr="00D460C4">
        <w:rPr>
          <w:bCs/>
        </w:rPr>
        <w:t xml:space="preserve">ave </w:t>
      </w:r>
      <w:r w:rsidRPr="00D460C4">
        <w:rPr>
          <w:bCs/>
        </w:rPr>
        <w:t xml:space="preserve">we invested adequately and sufficiently to help make the international </w:t>
      </w:r>
      <w:r w:rsidR="002310D3" w:rsidRPr="00D460C4">
        <w:rPr>
          <w:bCs/>
        </w:rPr>
        <w:t xml:space="preserve">constituency of persons with psychosocial disabilities </w:t>
      </w:r>
      <w:r w:rsidRPr="00D460C4">
        <w:rPr>
          <w:bCs/>
        </w:rPr>
        <w:t>a partner to Article 12 work? Given the gaps in leadership, w</w:t>
      </w:r>
      <w:r w:rsidR="002310D3" w:rsidRPr="00D460C4">
        <w:rPr>
          <w:bCs/>
        </w:rPr>
        <w:t xml:space="preserve">as it right to move to </w:t>
      </w:r>
      <w:r w:rsidRPr="00D460C4">
        <w:rPr>
          <w:bCs/>
        </w:rPr>
        <w:t xml:space="preserve">a </w:t>
      </w:r>
      <w:r w:rsidR="002310D3" w:rsidRPr="00D460C4">
        <w:rPr>
          <w:bCs/>
        </w:rPr>
        <w:t xml:space="preserve">more country-level approach? </w:t>
      </w:r>
      <w:r w:rsidRPr="00D460C4">
        <w:rPr>
          <w:bCs/>
        </w:rPr>
        <w:t>More broadly, h</w:t>
      </w:r>
      <w:r w:rsidR="002310D3" w:rsidRPr="00D460C4">
        <w:rPr>
          <w:bCs/>
        </w:rPr>
        <w:t xml:space="preserve">ow </w:t>
      </w:r>
      <w:r w:rsidRPr="00D460C4">
        <w:rPr>
          <w:bCs/>
        </w:rPr>
        <w:t xml:space="preserve">can we help </w:t>
      </w:r>
      <w:r w:rsidR="002310D3" w:rsidRPr="00D460C4">
        <w:rPr>
          <w:bCs/>
        </w:rPr>
        <w:t>build up the platform and practice around supporting persons with psychosocial disabilities</w:t>
      </w:r>
      <w:r w:rsidRPr="00D460C4">
        <w:rPr>
          <w:bCs/>
        </w:rPr>
        <w:t xml:space="preserve"> in decision-making</w:t>
      </w:r>
      <w:r w:rsidR="002310D3" w:rsidRPr="00D460C4">
        <w:rPr>
          <w:bCs/>
        </w:rPr>
        <w:t xml:space="preserve">? </w:t>
      </w:r>
    </w:p>
    <w:p w:rsidR="00302757" w:rsidRDefault="00302757" w:rsidP="009415DC">
      <w:pPr>
        <w:pStyle w:val="ListParagraph"/>
        <w:ind w:right="-334"/>
        <w:rPr>
          <w:bCs/>
        </w:rPr>
      </w:pPr>
    </w:p>
    <w:p w:rsidR="00302757" w:rsidRPr="00D460C4" w:rsidRDefault="00F24575" w:rsidP="009415DC">
      <w:pPr>
        <w:pStyle w:val="ListParagraph"/>
        <w:numPr>
          <w:ilvl w:val="0"/>
          <w:numId w:val="24"/>
        </w:numPr>
        <w:shd w:val="clear" w:color="auto" w:fill="FFFFFF"/>
        <w:ind w:right="-334"/>
        <w:rPr>
          <w:bCs/>
        </w:rPr>
      </w:pPr>
      <w:r>
        <w:rPr>
          <w:b/>
        </w:rPr>
        <w:t>Robust and reachable c</w:t>
      </w:r>
      <w:r w:rsidR="00302757" w:rsidRPr="00F24575">
        <w:rPr>
          <w:b/>
        </w:rPr>
        <w:t>ommunities of practice</w:t>
      </w:r>
      <w:r w:rsidR="00302757" w:rsidRPr="00D460C4">
        <w:rPr>
          <w:bCs/>
        </w:rPr>
        <w:t xml:space="preserve"> – </w:t>
      </w:r>
      <w:r w:rsidR="00AC58D4">
        <w:rPr>
          <w:rFonts w:eastAsia="Times New Roman" w:cs="Arial"/>
          <w:lang w:bidi="he-IL"/>
        </w:rPr>
        <w:t>How real</w:t>
      </w:r>
      <w:r w:rsidR="002310D3" w:rsidRPr="00D460C4">
        <w:rPr>
          <w:rFonts w:eastAsia="Times New Roman" w:cs="Arial"/>
          <w:lang w:bidi="he-IL"/>
        </w:rPr>
        <w:t xml:space="preserve"> are our communities of practice? </w:t>
      </w:r>
      <w:r w:rsidR="00302757" w:rsidRPr="00D460C4">
        <w:rPr>
          <w:rFonts w:eastAsia="Times New Roman" w:cs="Arial"/>
          <w:lang w:bidi="he-IL"/>
        </w:rPr>
        <w:t xml:space="preserve">What </w:t>
      </w:r>
      <w:r w:rsidR="00F55EB1" w:rsidRPr="00D460C4">
        <w:rPr>
          <w:rFonts w:eastAsia="Times New Roman" w:cs="Arial"/>
          <w:lang w:bidi="he-IL"/>
        </w:rPr>
        <w:t xml:space="preserve">else </w:t>
      </w:r>
      <w:r w:rsidR="00302757" w:rsidRPr="00D460C4">
        <w:rPr>
          <w:rFonts w:eastAsia="Times New Roman" w:cs="Arial"/>
          <w:lang w:bidi="he-IL"/>
        </w:rPr>
        <w:t>should we change in our strategy</w:t>
      </w:r>
      <w:r w:rsidR="004139C6">
        <w:rPr>
          <w:rFonts w:eastAsia="Times New Roman" w:cs="Arial"/>
          <w:lang w:bidi="he-IL"/>
        </w:rPr>
        <w:t>, including how we invest in the regional networks,</w:t>
      </w:r>
      <w:r w:rsidR="00302757" w:rsidRPr="00D460C4">
        <w:rPr>
          <w:rFonts w:eastAsia="Times New Roman" w:cs="Arial"/>
          <w:lang w:bidi="he-IL"/>
        </w:rPr>
        <w:t xml:space="preserve"> </w:t>
      </w:r>
      <w:r w:rsidR="00F55EB1" w:rsidRPr="00D460C4">
        <w:rPr>
          <w:rFonts w:eastAsia="Times New Roman" w:cs="Arial"/>
          <w:lang w:bidi="he-IL"/>
        </w:rPr>
        <w:t xml:space="preserve">to ensure that experience </w:t>
      </w:r>
      <w:r w:rsidR="00AC58D4">
        <w:rPr>
          <w:rFonts w:eastAsia="Times New Roman" w:cs="Arial"/>
          <w:lang w:bidi="he-IL"/>
        </w:rPr>
        <w:t xml:space="preserve">is </w:t>
      </w:r>
      <w:r w:rsidR="00F55EB1" w:rsidRPr="00D460C4">
        <w:rPr>
          <w:rFonts w:eastAsia="Times New Roman" w:cs="Arial"/>
          <w:lang w:bidi="he-IL"/>
        </w:rPr>
        <w:t xml:space="preserve">collected and disseminated in a way that would enable someone who is not directly linked with the projects we support to know about this work and find material and support? </w:t>
      </w:r>
    </w:p>
    <w:p w:rsidR="00302757" w:rsidRPr="00302757" w:rsidRDefault="00302757" w:rsidP="009415DC">
      <w:pPr>
        <w:pStyle w:val="ListParagraph"/>
        <w:shd w:val="clear" w:color="auto" w:fill="FFFFFF"/>
        <w:ind w:right="-334"/>
      </w:pPr>
    </w:p>
    <w:p w:rsidR="0089398E" w:rsidRPr="00874584" w:rsidRDefault="00F55EB1" w:rsidP="009415DC">
      <w:pPr>
        <w:pStyle w:val="ListParagraph"/>
        <w:numPr>
          <w:ilvl w:val="0"/>
          <w:numId w:val="24"/>
        </w:numPr>
        <w:shd w:val="clear" w:color="auto" w:fill="FFFFFF"/>
        <w:ind w:right="-334"/>
        <w:rPr>
          <w:bCs/>
        </w:rPr>
      </w:pPr>
      <w:r w:rsidRPr="00F24575">
        <w:rPr>
          <w:b/>
          <w:bCs/>
        </w:rPr>
        <w:t>Scaling up</w:t>
      </w:r>
      <w:r>
        <w:t xml:space="preserve"> – </w:t>
      </w:r>
      <w:r w:rsidR="002310D3">
        <w:t xml:space="preserve">How </w:t>
      </w:r>
      <w:r w:rsidR="000060EC">
        <w:t xml:space="preserve">do we support partners to </w:t>
      </w:r>
      <w:r w:rsidR="002310D3">
        <w:t>build up</w:t>
      </w:r>
      <w:r w:rsidR="000060EC">
        <w:t xml:space="preserve"> existing efforts</w:t>
      </w:r>
      <w:r w:rsidR="00296B79">
        <w:t xml:space="preserve"> </w:t>
      </w:r>
      <w:r w:rsidR="000060EC">
        <w:t>to</w:t>
      </w:r>
      <w:r w:rsidR="002310D3">
        <w:t xml:space="preserve"> transition from pilot-mode to systems-level change, </w:t>
      </w:r>
      <w:r w:rsidR="00E245DE">
        <w:t xml:space="preserve">and to </w:t>
      </w:r>
      <w:r w:rsidR="002310D3">
        <w:t xml:space="preserve"> anticipat</w:t>
      </w:r>
      <w:r w:rsidR="00E245DE">
        <w:t xml:space="preserve">e and prepare for </w:t>
      </w:r>
      <w:r w:rsidR="002310D3">
        <w:t xml:space="preserve"> strong resistance? Do we have everything in place, in terms of how we support Article 12 work, to shepherd this process</w:t>
      </w:r>
      <w:r w:rsidR="00A14507">
        <w:t>? H</w:t>
      </w:r>
      <w:r w:rsidR="00F61A4E">
        <w:t xml:space="preserve">ave we considered the </w:t>
      </w:r>
      <w:r w:rsidR="00A14507">
        <w:t xml:space="preserve">range of </w:t>
      </w:r>
      <w:r w:rsidR="00F61A4E">
        <w:t xml:space="preserve">partners </w:t>
      </w:r>
      <w:r w:rsidR="00A14507">
        <w:t xml:space="preserve">to be brought in </w:t>
      </w:r>
      <w:r w:rsidR="00F61A4E">
        <w:t xml:space="preserve">and relationships </w:t>
      </w:r>
      <w:r w:rsidR="00A14507">
        <w:t xml:space="preserve">to be developed in order to </w:t>
      </w:r>
      <w:r w:rsidR="00F61A4E">
        <w:t>systemi</w:t>
      </w:r>
      <w:r w:rsidR="00A14507">
        <w:t>ze</w:t>
      </w:r>
      <w:r w:rsidR="00F61A4E">
        <w:t xml:space="preserve"> support for legal capacity (e.g.,</w:t>
      </w:r>
      <w:r w:rsidR="00A14507">
        <w:t xml:space="preserve"> banking </w:t>
      </w:r>
      <w:r w:rsidR="00F61A4E">
        <w:t>institutions, medical associations, b</w:t>
      </w:r>
      <w:r w:rsidR="00AC58D4">
        <w:t>ar associations</w:t>
      </w:r>
      <w:r w:rsidR="00F61A4E">
        <w:t>)?</w:t>
      </w:r>
    </w:p>
    <w:sectPr w:rsidR="0089398E" w:rsidRPr="00874584" w:rsidSect="003778B6">
      <w:headerReference w:type="default" r:id="rId9"/>
      <w:pgSz w:w="11906" w:h="16838"/>
      <w:pgMar w:top="1440" w:right="1080" w:bottom="1440" w:left="108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191803" w15:done="0"/>
  <w15:commentEx w15:paraId="56BAFA4A" w15:done="0"/>
  <w15:commentEx w15:paraId="5E20C27F" w15:done="0"/>
  <w15:commentEx w15:paraId="0B01BB24" w15:done="0"/>
  <w15:commentEx w15:paraId="1A253BFC" w15:done="0"/>
  <w15:commentEx w15:paraId="0CB3D4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AF6" w:rsidRDefault="00FA3AF6" w:rsidP="00BE4EC1">
      <w:pPr>
        <w:spacing w:after="0" w:line="240" w:lineRule="auto"/>
      </w:pPr>
      <w:r>
        <w:separator/>
      </w:r>
    </w:p>
  </w:endnote>
  <w:endnote w:type="continuationSeparator" w:id="0">
    <w:p w:rsidR="00FA3AF6" w:rsidRDefault="00FA3AF6" w:rsidP="00BE4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AF6" w:rsidRDefault="00FA3AF6" w:rsidP="00BE4EC1">
      <w:pPr>
        <w:spacing w:after="0" w:line="240" w:lineRule="auto"/>
      </w:pPr>
      <w:r>
        <w:separator/>
      </w:r>
    </w:p>
  </w:footnote>
  <w:footnote w:type="continuationSeparator" w:id="0">
    <w:p w:rsidR="00FA3AF6" w:rsidRDefault="00FA3AF6" w:rsidP="00BE4E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22451"/>
      <w:docPartObj>
        <w:docPartGallery w:val="Page Numbers (Top of Page)"/>
        <w:docPartUnique/>
      </w:docPartObj>
    </w:sdtPr>
    <w:sdtEndPr>
      <w:rPr>
        <w:noProof/>
      </w:rPr>
    </w:sdtEndPr>
    <w:sdtContent>
      <w:p w:rsidR="003778B6" w:rsidRDefault="003778B6">
        <w:pPr>
          <w:pStyle w:val="Header"/>
          <w:jc w:val="center"/>
        </w:pPr>
        <w:r>
          <w:fldChar w:fldCharType="begin"/>
        </w:r>
        <w:r>
          <w:instrText xml:space="preserve"> PAGE   \* MERGEFORMAT </w:instrText>
        </w:r>
        <w:r>
          <w:fldChar w:fldCharType="separate"/>
        </w:r>
        <w:r w:rsidR="0063758E">
          <w:rPr>
            <w:noProof/>
          </w:rPr>
          <w:t>10</w:t>
        </w:r>
        <w:r>
          <w:rPr>
            <w:noProof/>
          </w:rPr>
          <w:fldChar w:fldCharType="end"/>
        </w:r>
      </w:p>
    </w:sdtContent>
  </w:sdt>
  <w:p w:rsidR="003778B6" w:rsidRDefault="003778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A640B"/>
    <w:multiLevelType w:val="hybridMultilevel"/>
    <w:tmpl w:val="C3D8B464"/>
    <w:lvl w:ilvl="0" w:tplc="446A278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A6A39"/>
    <w:multiLevelType w:val="hybridMultilevel"/>
    <w:tmpl w:val="7D382E18"/>
    <w:lvl w:ilvl="0" w:tplc="6F7093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0930FC"/>
    <w:multiLevelType w:val="hybridMultilevel"/>
    <w:tmpl w:val="B0FAFD7E"/>
    <w:lvl w:ilvl="0" w:tplc="B706022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579CC"/>
    <w:multiLevelType w:val="hybridMultilevel"/>
    <w:tmpl w:val="B9600F84"/>
    <w:lvl w:ilvl="0" w:tplc="08090009">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51186B"/>
    <w:multiLevelType w:val="hybridMultilevel"/>
    <w:tmpl w:val="D5465BE6"/>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E94003"/>
    <w:multiLevelType w:val="hybridMultilevel"/>
    <w:tmpl w:val="1B8E5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53B0B16"/>
    <w:multiLevelType w:val="hybridMultilevel"/>
    <w:tmpl w:val="0A0E0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6FB3687"/>
    <w:multiLevelType w:val="hybridMultilevel"/>
    <w:tmpl w:val="434E6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B9266B"/>
    <w:multiLevelType w:val="hybridMultilevel"/>
    <w:tmpl w:val="0E0AD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0A0F67"/>
    <w:multiLevelType w:val="hybridMultilevel"/>
    <w:tmpl w:val="D846864A"/>
    <w:lvl w:ilvl="0" w:tplc="04090001">
      <w:start w:val="1"/>
      <w:numFmt w:val="bullet"/>
      <w:lvlText w:val=""/>
      <w:lvlJc w:val="left"/>
      <w:pPr>
        <w:ind w:left="720" w:hanging="360"/>
      </w:pPr>
      <w:rPr>
        <w:rFonts w:ascii="Symbol" w:hAnsi="Symbol" w:hint="default"/>
      </w:rPr>
    </w:lvl>
    <w:lvl w:ilvl="1" w:tplc="455AF6B4">
      <w:start w:val="5"/>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6E0B64"/>
    <w:multiLevelType w:val="hybridMultilevel"/>
    <w:tmpl w:val="34D2E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0442B"/>
    <w:multiLevelType w:val="hybridMultilevel"/>
    <w:tmpl w:val="F3CEC61A"/>
    <w:lvl w:ilvl="0" w:tplc="7AF45E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2139B2"/>
    <w:multiLevelType w:val="hybridMultilevel"/>
    <w:tmpl w:val="AD2E645C"/>
    <w:lvl w:ilvl="0" w:tplc="BC9AED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DB2908"/>
    <w:multiLevelType w:val="hybridMultilevel"/>
    <w:tmpl w:val="12023B0A"/>
    <w:lvl w:ilvl="0" w:tplc="41721FB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30671BC"/>
    <w:multiLevelType w:val="hybridMultilevel"/>
    <w:tmpl w:val="45C618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6543ED6"/>
    <w:multiLevelType w:val="hybridMultilevel"/>
    <w:tmpl w:val="9C8C4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195364"/>
    <w:multiLevelType w:val="hybridMultilevel"/>
    <w:tmpl w:val="93162F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84A0F2C"/>
    <w:multiLevelType w:val="hybridMultilevel"/>
    <w:tmpl w:val="30D6F6E0"/>
    <w:lvl w:ilvl="0" w:tplc="D4C64D06">
      <w:start w:val="2"/>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E734FC1"/>
    <w:multiLevelType w:val="hybridMultilevel"/>
    <w:tmpl w:val="04B04090"/>
    <w:lvl w:ilvl="0" w:tplc="2648FF2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34B38FE"/>
    <w:multiLevelType w:val="hybridMultilevel"/>
    <w:tmpl w:val="64D6F5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CEF5672"/>
    <w:multiLevelType w:val="hybridMultilevel"/>
    <w:tmpl w:val="2C844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DBC1554"/>
    <w:multiLevelType w:val="hybridMultilevel"/>
    <w:tmpl w:val="F1CCA3D6"/>
    <w:lvl w:ilvl="0" w:tplc="5B54179E">
      <w:numFmt w:val="bullet"/>
      <w:lvlText w:val=""/>
      <w:lvlJc w:val="left"/>
      <w:pPr>
        <w:ind w:left="720" w:hanging="360"/>
      </w:pPr>
      <w:rPr>
        <w:rFonts w:ascii="Symbol" w:eastAsiaTheme="minorHAnsi" w:hAnsi="Symbol" w:cstheme="minorBidi" w:hint="default"/>
      </w:rPr>
    </w:lvl>
    <w:lvl w:ilvl="1" w:tplc="7AF45E94">
      <w:numFmt w:val="bullet"/>
      <w:lvlText w:val="-"/>
      <w:lvlJc w:val="left"/>
      <w:pPr>
        <w:ind w:left="1440" w:hanging="36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1C4885"/>
    <w:multiLevelType w:val="hybridMultilevel"/>
    <w:tmpl w:val="E0C0C2EE"/>
    <w:lvl w:ilvl="0" w:tplc="8438D806">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5852FB"/>
    <w:multiLevelType w:val="hybridMultilevel"/>
    <w:tmpl w:val="6E726D6E"/>
    <w:lvl w:ilvl="0" w:tplc="65C80F6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9169EC"/>
    <w:multiLevelType w:val="hybridMultilevel"/>
    <w:tmpl w:val="ECB2FF78"/>
    <w:lvl w:ilvl="0" w:tplc="455AF6B4">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152893"/>
    <w:multiLevelType w:val="hybridMultilevel"/>
    <w:tmpl w:val="786EB8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6"/>
  </w:num>
  <w:num w:numId="4">
    <w:abstractNumId w:val="20"/>
  </w:num>
  <w:num w:numId="5">
    <w:abstractNumId w:val="7"/>
  </w:num>
  <w:num w:numId="6">
    <w:abstractNumId w:val="1"/>
  </w:num>
  <w:num w:numId="7">
    <w:abstractNumId w:val="4"/>
  </w:num>
  <w:num w:numId="8">
    <w:abstractNumId w:val="3"/>
  </w:num>
  <w:num w:numId="9">
    <w:abstractNumId w:val="19"/>
  </w:num>
  <w:num w:numId="10">
    <w:abstractNumId w:val="21"/>
  </w:num>
  <w:num w:numId="11">
    <w:abstractNumId w:val="13"/>
  </w:num>
  <w:num w:numId="12">
    <w:abstractNumId w:val="0"/>
  </w:num>
  <w:num w:numId="13">
    <w:abstractNumId w:val="24"/>
  </w:num>
  <w:num w:numId="14">
    <w:abstractNumId w:val="9"/>
  </w:num>
  <w:num w:numId="15">
    <w:abstractNumId w:val="18"/>
  </w:num>
  <w:num w:numId="16">
    <w:abstractNumId w:val="12"/>
  </w:num>
  <w:num w:numId="17">
    <w:abstractNumId w:val="2"/>
  </w:num>
  <w:num w:numId="18">
    <w:abstractNumId w:val="2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0"/>
  </w:num>
  <w:num w:numId="22">
    <w:abstractNumId w:val="22"/>
  </w:num>
  <w:num w:numId="23">
    <w:abstractNumId w:val="11"/>
  </w:num>
  <w:num w:numId="24">
    <w:abstractNumId w:val="8"/>
  </w:num>
  <w:num w:numId="25">
    <w:abstractNumId w:val="17"/>
  </w:num>
  <w:num w:numId="26">
    <w:abstractNumId w:val="25"/>
  </w:num>
  <w:num w:numId="27">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Bach">
    <w15:presenceInfo w15:providerId="None" w15:userId="Michael Ba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59C"/>
    <w:rsid w:val="00001051"/>
    <w:rsid w:val="000060EC"/>
    <w:rsid w:val="00007345"/>
    <w:rsid w:val="000152E0"/>
    <w:rsid w:val="00021066"/>
    <w:rsid w:val="00024EE5"/>
    <w:rsid w:val="00025302"/>
    <w:rsid w:val="00027741"/>
    <w:rsid w:val="00027EB4"/>
    <w:rsid w:val="00031BD1"/>
    <w:rsid w:val="00041895"/>
    <w:rsid w:val="000420DD"/>
    <w:rsid w:val="00043583"/>
    <w:rsid w:val="00044EBA"/>
    <w:rsid w:val="00046665"/>
    <w:rsid w:val="00052689"/>
    <w:rsid w:val="00061F14"/>
    <w:rsid w:val="00065D5F"/>
    <w:rsid w:val="00065E5A"/>
    <w:rsid w:val="000679E4"/>
    <w:rsid w:val="0007017C"/>
    <w:rsid w:val="00070F9A"/>
    <w:rsid w:val="00072963"/>
    <w:rsid w:val="00074A4B"/>
    <w:rsid w:val="000810A4"/>
    <w:rsid w:val="00083193"/>
    <w:rsid w:val="000840BC"/>
    <w:rsid w:val="000856A8"/>
    <w:rsid w:val="000866C2"/>
    <w:rsid w:val="00092C6A"/>
    <w:rsid w:val="000A2792"/>
    <w:rsid w:val="000A574E"/>
    <w:rsid w:val="000A5C7A"/>
    <w:rsid w:val="000B279C"/>
    <w:rsid w:val="000B3F58"/>
    <w:rsid w:val="000B6653"/>
    <w:rsid w:val="000B7247"/>
    <w:rsid w:val="000B7D4D"/>
    <w:rsid w:val="000C3AF5"/>
    <w:rsid w:val="000C52BD"/>
    <w:rsid w:val="000D61CE"/>
    <w:rsid w:val="000E531B"/>
    <w:rsid w:val="000F089C"/>
    <w:rsid w:val="000F0FB6"/>
    <w:rsid w:val="000F3668"/>
    <w:rsid w:val="000F6022"/>
    <w:rsid w:val="000F6734"/>
    <w:rsid w:val="00100065"/>
    <w:rsid w:val="0010033B"/>
    <w:rsid w:val="00100ED5"/>
    <w:rsid w:val="00104679"/>
    <w:rsid w:val="00106235"/>
    <w:rsid w:val="00112FF0"/>
    <w:rsid w:val="001177B8"/>
    <w:rsid w:val="00120D86"/>
    <w:rsid w:val="0012138D"/>
    <w:rsid w:val="00124A88"/>
    <w:rsid w:val="001269CD"/>
    <w:rsid w:val="0013250E"/>
    <w:rsid w:val="00133B33"/>
    <w:rsid w:val="00133C32"/>
    <w:rsid w:val="00137540"/>
    <w:rsid w:val="00143287"/>
    <w:rsid w:val="00143540"/>
    <w:rsid w:val="001655D3"/>
    <w:rsid w:val="00167F39"/>
    <w:rsid w:val="00176A48"/>
    <w:rsid w:val="001828B8"/>
    <w:rsid w:val="00193240"/>
    <w:rsid w:val="0019741F"/>
    <w:rsid w:val="00197EB2"/>
    <w:rsid w:val="001A1246"/>
    <w:rsid w:val="001A26B4"/>
    <w:rsid w:val="001A6540"/>
    <w:rsid w:val="001A7DA1"/>
    <w:rsid w:val="001B04F6"/>
    <w:rsid w:val="001B10D1"/>
    <w:rsid w:val="001B5E37"/>
    <w:rsid w:val="001C15B1"/>
    <w:rsid w:val="001C38E0"/>
    <w:rsid w:val="001C5CCE"/>
    <w:rsid w:val="001C6102"/>
    <w:rsid w:val="001D1A6F"/>
    <w:rsid w:val="001D255B"/>
    <w:rsid w:val="001D614F"/>
    <w:rsid w:val="001D64FF"/>
    <w:rsid w:val="001E04AC"/>
    <w:rsid w:val="001E0B84"/>
    <w:rsid w:val="001E53F2"/>
    <w:rsid w:val="001E7AB7"/>
    <w:rsid w:val="001F0864"/>
    <w:rsid w:val="001F3812"/>
    <w:rsid w:val="001F38D8"/>
    <w:rsid w:val="001F499F"/>
    <w:rsid w:val="001F4CA2"/>
    <w:rsid w:val="00201DCB"/>
    <w:rsid w:val="00203E82"/>
    <w:rsid w:val="00205FB9"/>
    <w:rsid w:val="0020616B"/>
    <w:rsid w:val="0020697B"/>
    <w:rsid w:val="00212F51"/>
    <w:rsid w:val="002154B9"/>
    <w:rsid w:val="002157A0"/>
    <w:rsid w:val="002310D3"/>
    <w:rsid w:val="0023502C"/>
    <w:rsid w:val="00236ABD"/>
    <w:rsid w:val="00251AD5"/>
    <w:rsid w:val="00254815"/>
    <w:rsid w:val="0026062A"/>
    <w:rsid w:val="002619E4"/>
    <w:rsid w:val="00262972"/>
    <w:rsid w:val="00266C39"/>
    <w:rsid w:val="00270CD1"/>
    <w:rsid w:val="00271228"/>
    <w:rsid w:val="002728CB"/>
    <w:rsid w:val="00276484"/>
    <w:rsid w:val="00276928"/>
    <w:rsid w:val="002808FC"/>
    <w:rsid w:val="00287CBD"/>
    <w:rsid w:val="00296B79"/>
    <w:rsid w:val="0029703D"/>
    <w:rsid w:val="002A64E4"/>
    <w:rsid w:val="002A70A0"/>
    <w:rsid w:val="002A7E08"/>
    <w:rsid w:val="002B1290"/>
    <w:rsid w:val="002B1C63"/>
    <w:rsid w:val="002B4550"/>
    <w:rsid w:val="002C0674"/>
    <w:rsid w:val="002C5486"/>
    <w:rsid w:val="002C549F"/>
    <w:rsid w:val="002C61E5"/>
    <w:rsid w:val="002D12E9"/>
    <w:rsid w:val="002D4477"/>
    <w:rsid w:val="002D4882"/>
    <w:rsid w:val="002D5205"/>
    <w:rsid w:val="002D6D72"/>
    <w:rsid w:val="002D78FF"/>
    <w:rsid w:val="002E54A1"/>
    <w:rsid w:val="002F1ACC"/>
    <w:rsid w:val="0030069E"/>
    <w:rsid w:val="0030104D"/>
    <w:rsid w:val="0030210F"/>
    <w:rsid w:val="00302757"/>
    <w:rsid w:val="00317BC5"/>
    <w:rsid w:val="00320C6A"/>
    <w:rsid w:val="00331975"/>
    <w:rsid w:val="00332482"/>
    <w:rsid w:val="003333B1"/>
    <w:rsid w:val="0033427A"/>
    <w:rsid w:val="0034724A"/>
    <w:rsid w:val="00351927"/>
    <w:rsid w:val="00353FC4"/>
    <w:rsid w:val="003609F1"/>
    <w:rsid w:val="00361B9C"/>
    <w:rsid w:val="0036201B"/>
    <w:rsid w:val="003627C2"/>
    <w:rsid w:val="00362E4F"/>
    <w:rsid w:val="00362EF7"/>
    <w:rsid w:val="003653ED"/>
    <w:rsid w:val="003721BD"/>
    <w:rsid w:val="003747BA"/>
    <w:rsid w:val="003778B6"/>
    <w:rsid w:val="00380333"/>
    <w:rsid w:val="00382835"/>
    <w:rsid w:val="0038328E"/>
    <w:rsid w:val="00385653"/>
    <w:rsid w:val="00386FA8"/>
    <w:rsid w:val="00387E16"/>
    <w:rsid w:val="00391899"/>
    <w:rsid w:val="00392512"/>
    <w:rsid w:val="003954B2"/>
    <w:rsid w:val="0039565A"/>
    <w:rsid w:val="003A172E"/>
    <w:rsid w:val="003A3FD2"/>
    <w:rsid w:val="003A6AB2"/>
    <w:rsid w:val="003B4C38"/>
    <w:rsid w:val="003B5545"/>
    <w:rsid w:val="003B5C09"/>
    <w:rsid w:val="003C1A88"/>
    <w:rsid w:val="003C7B60"/>
    <w:rsid w:val="003D2100"/>
    <w:rsid w:val="003D24D8"/>
    <w:rsid w:val="003D4654"/>
    <w:rsid w:val="003D7C29"/>
    <w:rsid w:val="003E0FE4"/>
    <w:rsid w:val="003F12D6"/>
    <w:rsid w:val="003F160A"/>
    <w:rsid w:val="003F28B3"/>
    <w:rsid w:val="003F3904"/>
    <w:rsid w:val="003F4470"/>
    <w:rsid w:val="003F4B6A"/>
    <w:rsid w:val="003F70D9"/>
    <w:rsid w:val="00401B22"/>
    <w:rsid w:val="0040227C"/>
    <w:rsid w:val="00402F9A"/>
    <w:rsid w:val="00405D52"/>
    <w:rsid w:val="00410826"/>
    <w:rsid w:val="004139C6"/>
    <w:rsid w:val="00416D6E"/>
    <w:rsid w:val="0042026B"/>
    <w:rsid w:val="00422C59"/>
    <w:rsid w:val="00423B5A"/>
    <w:rsid w:val="00435A8D"/>
    <w:rsid w:val="00436DD8"/>
    <w:rsid w:val="00443D34"/>
    <w:rsid w:val="00444B4F"/>
    <w:rsid w:val="00450059"/>
    <w:rsid w:val="00454754"/>
    <w:rsid w:val="004710D9"/>
    <w:rsid w:val="00471A73"/>
    <w:rsid w:val="00473590"/>
    <w:rsid w:val="00475C2A"/>
    <w:rsid w:val="00476C46"/>
    <w:rsid w:val="004812D2"/>
    <w:rsid w:val="00481A0D"/>
    <w:rsid w:val="00482CDE"/>
    <w:rsid w:val="00484F93"/>
    <w:rsid w:val="0049531E"/>
    <w:rsid w:val="00497E6F"/>
    <w:rsid w:val="004A042A"/>
    <w:rsid w:val="004A541A"/>
    <w:rsid w:val="004A5850"/>
    <w:rsid w:val="004A6884"/>
    <w:rsid w:val="004B21BF"/>
    <w:rsid w:val="004B22CB"/>
    <w:rsid w:val="004B28FD"/>
    <w:rsid w:val="004B418E"/>
    <w:rsid w:val="004B4D00"/>
    <w:rsid w:val="004C1B77"/>
    <w:rsid w:val="004C32F9"/>
    <w:rsid w:val="004D4726"/>
    <w:rsid w:val="004D507D"/>
    <w:rsid w:val="004D76FE"/>
    <w:rsid w:val="004E2780"/>
    <w:rsid w:val="004E3780"/>
    <w:rsid w:val="004E4646"/>
    <w:rsid w:val="004F390F"/>
    <w:rsid w:val="004F3E67"/>
    <w:rsid w:val="00503DA2"/>
    <w:rsid w:val="005164B9"/>
    <w:rsid w:val="005179D8"/>
    <w:rsid w:val="00517EBF"/>
    <w:rsid w:val="00520946"/>
    <w:rsid w:val="005210CD"/>
    <w:rsid w:val="00522992"/>
    <w:rsid w:val="0052773C"/>
    <w:rsid w:val="00531544"/>
    <w:rsid w:val="00532620"/>
    <w:rsid w:val="005337CE"/>
    <w:rsid w:val="005404A9"/>
    <w:rsid w:val="00540C64"/>
    <w:rsid w:val="00540DFD"/>
    <w:rsid w:val="0054497A"/>
    <w:rsid w:val="00546ABD"/>
    <w:rsid w:val="005517D8"/>
    <w:rsid w:val="005523C4"/>
    <w:rsid w:val="00552DB8"/>
    <w:rsid w:val="00554F3B"/>
    <w:rsid w:val="005558A6"/>
    <w:rsid w:val="00556328"/>
    <w:rsid w:val="00560D55"/>
    <w:rsid w:val="00562D0A"/>
    <w:rsid w:val="005642E6"/>
    <w:rsid w:val="0056767A"/>
    <w:rsid w:val="00570AFC"/>
    <w:rsid w:val="00571429"/>
    <w:rsid w:val="005732BE"/>
    <w:rsid w:val="00576BDF"/>
    <w:rsid w:val="00577C83"/>
    <w:rsid w:val="00577DCD"/>
    <w:rsid w:val="00580F7B"/>
    <w:rsid w:val="00583345"/>
    <w:rsid w:val="00583DBD"/>
    <w:rsid w:val="00585DDB"/>
    <w:rsid w:val="0058607A"/>
    <w:rsid w:val="00586A91"/>
    <w:rsid w:val="005910EA"/>
    <w:rsid w:val="0059328F"/>
    <w:rsid w:val="005D0C54"/>
    <w:rsid w:val="005D2A2B"/>
    <w:rsid w:val="005E67B4"/>
    <w:rsid w:val="005E7E7F"/>
    <w:rsid w:val="005F1471"/>
    <w:rsid w:val="00604C5D"/>
    <w:rsid w:val="0061258D"/>
    <w:rsid w:val="00614D3D"/>
    <w:rsid w:val="0061674F"/>
    <w:rsid w:val="006174A9"/>
    <w:rsid w:val="006267CF"/>
    <w:rsid w:val="00635189"/>
    <w:rsid w:val="0063758E"/>
    <w:rsid w:val="00643EDE"/>
    <w:rsid w:val="00645073"/>
    <w:rsid w:val="00645D5A"/>
    <w:rsid w:val="00650725"/>
    <w:rsid w:val="006514F3"/>
    <w:rsid w:val="0065324A"/>
    <w:rsid w:val="006536EE"/>
    <w:rsid w:val="00656449"/>
    <w:rsid w:val="00656674"/>
    <w:rsid w:val="00662FE8"/>
    <w:rsid w:val="00666102"/>
    <w:rsid w:val="006673E6"/>
    <w:rsid w:val="00672FD6"/>
    <w:rsid w:val="00674466"/>
    <w:rsid w:val="00680777"/>
    <w:rsid w:val="00683902"/>
    <w:rsid w:val="0068489E"/>
    <w:rsid w:val="00684B7B"/>
    <w:rsid w:val="00686176"/>
    <w:rsid w:val="006904B4"/>
    <w:rsid w:val="006972AE"/>
    <w:rsid w:val="006A065C"/>
    <w:rsid w:val="006A1707"/>
    <w:rsid w:val="006B5944"/>
    <w:rsid w:val="006B681C"/>
    <w:rsid w:val="006B68DE"/>
    <w:rsid w:val="006B698D"/>
    <w:rsid w:val="006C589D"/>
    <w:rsid w:val="006C772A"/>
    <w:rsid w:val="006C7C15"/>
    <w:rsid w:val="006D2811"/>
    <w:rsid w:val="006D6227"/>
    <w:rsid w:val="006D7A5F"/>
    <w:rsid w:val="006E0138"/>
    <w:rsid w:val="006E01FD"/>
    <w:rsid w:val="006E1B40"/>
    <w:rsid w:val="006E29E3"/>
    <w:rsid w:val="006E4895"/>
    <w:rsid w:val="006E63F2"/>
    <w:rsid w:val="006F0660"/>
    <w:rsid w:val="006F26B8"/>
    <w:rsid w:val="006F6E63"/>
    <w:rsid w:val="00705349"/>
    <w:rsid w:val="00705E27"/>
    <w:rsid w:val="00706E72"/>
    <w:rsid w:val="00714B02"/>
    <w:rsid w:val="00723729"/>
    <w:rsid w:val="0072685B"/>
    <w:rsid w:val="00734703"/>
    <w:rsid w:val="00736FDA"/>
    <w:rsid w:val="00740717"/>
    <w:rsid w:val="0074415E"/>
    <w:rsid w:val="007450BC"/>
    <w:rsid w:val="007460AF"/>
    <w:rsid w:val="007468AE"/>
    <w:rsid w:val="00751832"/>
    <w:rsid w:val="007518A7"/>
    <w:rsid w:val="00755982"/>
    <w:rsid w:val="00756E2E"/>
    <w:rsid w:val="007579D5"/>
    <w:rsid w:val="00760408"/>
    <w:rsid w:val="007609FF"/>
    <w:rsid w:val="007627AE"/>
    <w:rsid w:val="00765888"/>
    <w:rsid w:val="007703A4"/>
    <w:rsid w:val="0077075F"/>
    <w:rsid w:val="00773159"/>
    <w:rsid w:val="007741D1"/>
    <w:rsid w:val="00780BA5"/>
    <w:rsid w:val="00781D90"/>
    <w:rsid w:val="00782E7B"/>
    <w:rsid w:val="00790779"/>
    <w:rsid w:val="00797058"/>
    <w:rsid w:val="00797CE2"/>
    <w:rsid w:val="007A1BE3"/>
    <w:rsid w:val="007B0AE5"/>
    <w:rsid w:val="007B1AEC"/>
    <w:rsid w:val="007B3D4F"/>
    <w:rsid w:val="007B3DFF"/>
    <w:rsid w:val="007B67AC"/>
    <w:rsid w:val="007C1B0C"/>
    <w:rsid w:val="007D0127"/>
    <w:rsid w:val="007D45FA"/>
    <w:rsid w:val="007D5E2E"/>
    <w:rsid w:val="007E0FDC"/>
    <w:rsid w:val="007E19E3"/>
    <w:rsid w:val="007E2926"/>
    <w:rsid w:val="007E2B6D"/>
    <w:rsid w:val="007E5117"/>
    <w:rsid w:val="007E5536"/>
    <w:rsid w:val="007F5CED"/>
    <w:rsid w:val="007F66AA"/>
    <w:rsid w:val="00804696"/>
    <w:rsid w:val="008125B0"/>
    <w:rsid w:val="00813AB5"/>
    <w:rsid w:val="0081590C"/>
    <w:rsid w:val="008161FC"/>
    <w:rsid w:val="008169E0"/>
    <w:rsid w:val="00817ECC"/>
    <w:rsid w:val="00821D95"/>
    <w:rsid w:val="0082718E"/>
    <w:rsid w:val="008347CE"/>
    <w:rsid w:val="008351B3"/>
    <w:rsid w:val="008405CA"/>
    <w:rsid w:val="00840E99"/>
    <w:rsid w:val="008411E6"/>
    <w:rsid w:val="00841669"/>
    <w:rsid w:val="00843DEC"/>
    <w:rsid w:val="00844414"/>
    <w:rsid w:val="00844B51"/>
    <w:rsid w:val="0084559F"/>
    <w:rsid w:val="00846CD2"/>
    <w:rsid w:val="00855F4F"/>
    <w:rsid w:val="00860522"/>
    <w:rsid w:val="00860B50"/>
    <w:rsid w:val="0086193C"/>
    <w:rsid w:val="00871CED"/>
    <w:rsid w:val="00874584"/>
    <w:rsid w:val="00875184"/>
    <w:rsid w:val="008763B7"/>
    <w:rsid w:val="00881A69"/>
    <w:rsid w:val="00887893"/>
    <w:rsid w:val="00893265"/>
    <w:rsid w:val="0089398E"/>
    <w:rsid w:val="00896E5D"/>
    <w:rsid w:val="008A19CE"/>
    <w:rsid w:val="008A5922"/>
    <w:rsid w:val="008B4EAB"/>
    <w:rsid w:val="008B6990"/>
    <w:rsid w:val="008B6AAD"/>
    <w:rsid w:val="008C0033"/>
    <w:rsid w:val="008C147F"/>
    <w:rsid w:val="008C7E74"/>
    <w:rsid w:val="008D112C"/>
    <w:rsid w:val="008D4C12"/>
    <w:rsid w:val="008D686E"/>
    <w:rsid w:val="008E054C"/>
    <w:rsid w:val="008E3E93"/>
    <w:rsid w:val="008E54B5"/>
    <w:rsid w:val="008E5540"/>
    <w:rsid w:val="008F020C"/>
    <w:rsid w:val="008F28A8"/>
    <w:rsid w:val="008F5FB6"/>
    <w:rsid w:val="00903B64"/>
    <w:rsid w:val="00910D0F"/>
    <w:rsid w:val="0091171B"/>
    <w:rsid w:val="00914EC7"/>
    <w:rsid w:val="00920DC6"/>
    <w:rsid w:val="00931556"/>
    <w:rsid w:val="00937B8F"/>
    <w:rsid w:val="009415DC"/>
    <w:rsid w:val="00943536"/>
    <w:rsid w:val="00947AB8"/>
    <w:rsid w:val="00947E74"/>
    <w:rsid w:val="009520AE"/>
    <w:rsid w:val="009533B3"/>
    <w:rsid w:val="00956C76"/>
    <w:rsid w:val="009649F6"/>
    <w:rsid w:val="00966D08"/>
    <w:rsid w:val="00973737"/>
    <w:rsid w:val="009744B5"/>
    <w:rsid w:val="00974EAE"/>
    <w:rsid w:val="009865E5"/>
    <w:rsid w:val="00987990"/>
    <w:rsid w:val="00987B44"/>
    <w:rsid w:val="00997150"/>
    <w:rsid w:val="009A2FF2"/>
    <w:rsid w:val="009A6745"/>
    <w:rsid w:val="009B1026"/>
    <w:rsid w:val="009B1E13"/>
    <w:rsid w:val="009B1FFF"/>
    <w:rsid w:val="009B56AB"/>
    <w:rsid w:val="009C0F4E"/>
    <w:rsid w:val="009C6D4C"/>
    <w:rsid w:val="009D3D58"/>
    <w:rsid w:val="009D538A"/>
    <w:rsid w:val="009D676D"/>
    <w:rsid w:val="009E1EBD"/>
    <w:rsid w:val="009E7462"/>
    <w:rsid w:val="009E7FB0"/>
    <w:rsid w:val="009F4AC7"/>
    <w:rsid w:val="00A031FE"/>
    <w:rsid w:val="00A03D88"/>
    <w:rsid w:val="00A102D6"/>
    <w:rsid w:val="00A10637"/>
    <w:rsid w:val="00A10F06"/>
    <w:rsid w:val="00A14507"/>
    <w:rsid w:val="00A20F5D"/>
    <w:rsid w:val="00A22743"/>
    <w:rsid w:val="00A24951"/>
    <w:rsid w:val="00A24CF9"/>
    <w:rsid w:val="00A30107"/>
    <w:rsid w:val="00A30429"/>
    <w:rsid w:val="00A3279A"/>
    <w:rsid w:val="00A36722"/>
    <w:rsid w:val="00A40571"/>
    <w:rsid w:val="00A41F81"/>
    <w:rsid w:val="00A43E77"/>
    <w:rsid w:val="00A5035E"/>
    <w:rsid w:val="00A5258C"/>
    <w:rsid w:val="00A5496C"/>
    <w:rsid w:val="00A63618"/>
    <w:rsid w:val="00A64785"/>
    <w:rsid w:val="00A66A18"/>
    <w:rsid w:val="00A701A2"/>
    <w:rsid w:val="00A7054C"/>
    <w:rsid w:val="00A70FD7"/>
    <w:rsid w:val="00A74B58"/>
    <w:rsid w:val="00A77136"/>
    <w:rsid w:val="00A805A3"/>
    <w:rsid w:val="00A83259"/>
    <w:rsid w:val="00A869B1"/>
    <w:rsid w:val="00A930B7"/>
    <w:rsid w:val="00A94E33"/>
    <w:rsid w:val="00A97C96"/>
    <w:rsid w:val="00AA26FE"/>
    <w:rsid w:val="00AA2A5A"/>
    <w:rsid w:val="00AA61A3"/>
    <w:rsid w:val="00AB0C33"/>
    <w:rsid w:val="00AB26F1"/>
    <w:rsid w:val="00AC1063"/>
    <w:rsid w:val="00AC158D"/>
    <w:rsid w:val="00AC5342"/>
    <w:rsid w:val="00AC58D4"/>
    <w:rsid w:val="00AC6053"/>
    <w:rsid w:val="00AD2CEA"/>
    <w:rsid w:val="00AD528A"/>
    <w:rsid w:val="00AE0AD0"/>
    <w:rsid w:val="00AE7689"/>
    <w:rsid w:val="00AF008C"/>
    <w:rsid w:val="00AF6742"/>
    <w:rsid w:val="00B00523"/>
    <w:rsid w:val="00B1201B"/>
    <w:rsid w:val="00B17435"/>
    <w:rsid w:val="00B17A13"/>
    <w:rsid w:val="00B21988"/>
    <w:rsid w:val="00B239F8"/>
    <w:rsid w:val="00B23D70"/>
    <w:rsid w:val="00B24B7B"/>
    <w:rsid w:val="00B27C9A"/>
    <w:rsid w:val="00B336BD"/>
    <w:rsid w:val="00B43C15"/>
    <w:rsid w:val="00B43F64"/>
    <w:rsid w:val="00B47951"/>
    <w:rsid w:val="00B545A1"/>
    <w:rsid w:val="00B54D49"/>
    <w:rsid w:val="00B56219"/>
    <w:rsid w:val="00B56FA1"/>
    <w:rsid w:val="00B57841"/>
    <w:rsid w:val="00B60648"/>
    <w:rsid w:val="00B641DA"/>
    <w:rsid w:val="00B7277F"/>
    <w:rsid w:val="00B8406F"/>
    <w:rsid w:val="00B8659C"/>
    <w:rsid w:val="00B939E9"/>
    <w:rsid w:val="00B94AB3"/>
    <w:rsid w:val="00BC1DE2"/>
    <w:rsid w:val="00BC3069"/>
    <w:rsid w:val="00BD02A8"/>
    <w:rsid w:val="00BD6EB8"/>
    <w:rsid w:val="00BE06A9"/>
    <w:rsid w:val="00BE1239"/>
    <w:rsid w:val="00BE3FA4"/>
    <w:rsid w:val="00BE4EC1"/>
    <w:rsid w:val="00BE5A6A"/>
    <w:rsid w:val="00BE649F"/>
    <w:rsid w:val="00BE7417"/>
    <w:rsid w:val="00BF0DEF"/>
    <w:rsid w:val="00BF1393"/>
    <w:rsid w:val="00BF22E2"/>
    <w:rsid w:val="00BF7C9F"/>
    <w:rsid w:val="00C04D8A"/>
    <w:rsid w:val="00C0625E"/>
    <w:rsid w:val="00C06F42"/>
    <w:rsid w:val="00C07168"/>
    <w:rsid w:val="00C12BB5"/>
    <w:rsid w:val="00C1426C"/>
    <w:rsid w:val="00C15042"/>
    <w:rsid w:val="00C235E7"/>
    <w:rsid w:val="00C34F88"/>
    <w:rsid w:val="00C43222"/>
    <w:rsid w:val="00C43EB3"/>
    <w:rsid w:val="00C440E6"/>
    <w:rsid w:val="00C44EC2"/>
    <w:rsid w:val="00C45CB3"/>
    <w:rsid w:val="00C467D6"/>
    <w:rsid w:val="00C511EB"/>
    <w:rsid w:val="00C53815"/>
    <w:rsid w:val="00C55D10"/>
    <w:rsid w:val="00C57B8D"/>
    <w:rsid w:val="00C57C6B"/>
    <w:rsid w:val="00C60496"/>
    <w:rsid w:val="00C655FF"/>
    <w:rsid w:val="00C80168"/>
    <w:rsid w:val="00C82DC2"/>
    <w:rsid w:val="00C830D9"/>
    <w:rsid w:val="00C90F56"/>
    <w:rsid w:val="00C960E2"/>
    <w:rsid w:val="00CA3998"/>
    <w:rsid w:val="00CA714E"/>
    <w:rsid w:val="00CA7C4F"/>
    <w:rsid w:val="00CB20CC"/>
    <w:rsid w:val="00CB38D0"/>
    <w:rsid w:val="00CB7717"/>
    <w:rsid w:val="00CB7B54"/>
    <w:rsid w:val="00CC00A3"/>
    <w:rsid w:val="00CC378F"/>
    <w:rsid w:val="00CC37B1"/>
    <w:rsid w:val="00CC5D3E"/>
    <w:rsid w:val="00CC740F"/>
    <w:rsid w:val="00CD6E8E"/>
    <w:rsid w:val="00CE3F26"/>
    <w:rsid w:val="00CE7591"/>
    <w:rsid w:val="00CF3D13"/>
    <w:rsid w:val="00CF509A"/>
    <w:rsid w:val="00D06875"/>
    <w:rsid w:val="00D06E5B"/>
    <w:rsid w:val="00D07EF4"/>
    <w:rsid w:val="00D11E73"/>
    <w:rsid w:val="00D22101"/>
    <w:rsid w:val="00D22E3D"/>
    <w:rsid w:val="00D24AC6"/>
    <w:rsid w:val="00D25742"/>
    <w:rsid w:val="00D31810"/>
    <w:rsid w:val="00D3440A"/>
    <w:rsid w:val="00D40A1E"/>
    <w:rsid w:val="00D460C4"/>
    <w:rsid w:val="00D46829"/>
    <w:rsid w:val="00D53BD8"/>
    <w:rsid w:val="00D54C0E"/>
    <w:rsid w:val="00D57854"/>
    <w:rsid w:val="00D608A6"/>
    <w:rsid w:val="00D61734"/>
    <w:rsid w:val="00D63CA7"/>
    <w:rsid w:val="00D6741F"/>
    <w:rsid w:val="00D67CEA"/>
    <w:rsid w:val="00D738CD"/>
    <w:rsid w:val="00D82A41"/>
    <w:rsid w:val="00D84A42"/>
    <w:rsid w:val="00D901E9"/>
    <w:rsid w:val="00D912A8"/>
    <w:rsid w:val="00D97D94"/>
    <w:rsid w:val="00DA1D85"/>
    <w:rsid w:val="00DA1E20"/>
    <w:rsid w:val="00DA3622"/>
    <w:rsid w:val="00DC0237"/>
    <w:rsid w:val="00DC2FF5"/>
    <w:rsid w:val="00DD5131"/>
    <w:rsid w:val="00DE1CC7"/>
    <w:rsid w:val="00DE4518"/>
    <w:rsid w:val="00DE5664"/>
    <w:rsid w:val="00DE74C7"/>
    <w:rsid w:val="00DF232D"/>
    <w:rsid w:val="00E04BFC"/>
    <w:rsid w:val="00E101CD"/>
    <w:rsid w:val="00E1499F"/>
    <w:rsid w:val="00E16AEA"/>
    <w:rsid w:val="00E17162"/>
    <w:rsid w:val="00E23AA9"/>
    <w:rsid w:val="00E245DE"/>
    <w:rsid w:val="00E2519B"/>
    <w:rsid w:val="00E27ACC"/>
    <w:rsid w:val="00E3012E"/>
    <w:rsid w:val="00E31F24"/>
    <w:rsid w:val="00E325A9"/>
    <w:rsid w:val="00E33A54"/>
    <w:rsid w:val="00E37D93"/>
    <w:rsid w:val="00E41B14"/>
    <w:rsid w:val="00E429F4"/>
    <w:rsid w:val="00E452E9"/>
    <w:rsid w:val="00E471C6"/>
    <w:rsid w:val="00E52285"/>
    <w:rsid w:val="00E55D40"/>
    <w:rsid w:val="00E60012"/>
    <w:rsid w:val="00E61643"/>
    <w:rsid w:val="00E62F6D"/>
    <w:rsid w:val="00E66D91"/>
    <w:rsid w:val="00E70E19"/>
    <w:rsid w:val="00E72081"/>
    <w:rsid w:val="00E722E7"/>
    <w:rsid w:val="00E75025"/>
    <w:rsid w:val="00E75FE6"/>
    <w:rsid w:val="00E777D4"/>
    <w:rsid w:val="00E77F6D"/>
    <w:rsid w:val="00E839A3"/>
    <w:rsid w:val="00E83A2D"/>
    <w:rsid w:val="00E860C6"/>
    <w:rsid w:val="00E86DC2"/>
    <w:rsid w:val="00E93801"/>
    <w:rsid w:val="00E97076"/>
    <w:rsid w:val="00EA0FFD"/>
    <w:rsid w:val="00EA3124"/>
    <w:rsid w:val="00EA47D0"/>
    <w:rsid w:val="00EA52B7"/>
    <w:rsid w:val="00EA7C79"/>
    <w:rsid w:val="00EB126A"/>
    <w:rsid w:val="00EB2947"/>
    <w:rsid w:val="00EB4694"/>
    <w:rsid w:val="00EC615D"/>
    <w:rsid w:val="00ED0E50"/>
    <w:rsid w:val="00ED125B"/>
    <w:rsid w:val="00ED3626"/>
    <w:rsid w:val="00ED477B"/>
    <w:rsid w:val="00EE0D25"/>
    <w:rsid w:val="00EE1162"/>
    <w:rsid w:val="00EE1532"/>
    <w:rsid w:val="00EE2593"/>
    <w:rsid w:val="00EE3404"/>
    <w:rsid w:val="00EF08C8"/>
    <w:rsid w:val="00EF176C"/>
    <w:rsid w:val="00EF5BC0"/>
    <w:rsid w:val="00F0158D"/>
    <w:rsid w:val="00F02DDC"/>
    <w:rsid w:val="00F05E4D"/>
    <w:rsid w:val="00F11BD6"/>
    <w:rsid w:val="00F164B9"/>
    <w:rsid w:val="00F24575"/>
    <w:rsid w:val="00F35C28"/>
    <w:rsid w:val="00F43CC7"/>
    <w:rsid w:val="00F45B6A"/>
    <w:rsid w:val="00F46430"/>
    <w:rsid w:val="00F46C52"/>
    <w:rsid w:val="00F5166C"/>
    <w:rsid w:val="00F540A1"/>
    <w:rsid w:val="00F5458B"/>
    <w:rsid w:val="00F54F28"/>
    <w:rsid w:val="00F54FFE"/>
    <w:rsid w:val="00F55EB1"/>
    <w:rsid w:val="00F60C86"/>
    <w:rsid w:val="00F61A4E"/>
    <w:rsid w:val="00F6278B"/>
    <w:rsid w:val="00F664CA"/>
    <w:rsid w:val="00F67AEE"/>
    <w:rsid w:val="00F707AE"/>
    <w:rsid w:val="00F72031"/>
    <w:rsid w:val="00F720CD"/>
    <w:rsid w:val="00F75990"/>
    <w:rsid w:val="00F81E00"/>
    <w:rsid w:val="00F842FF"/>
    <w:rsid w:val="00F847F1"/>
    <w:rsid w:val="00F94FF3"/>
    <w:rsid w:val="00FA3AF6"/>
    <w:rsid w:val="00FA479B"/>
    <w:rsid w:val="00FB16D5"/>
    <w:rsid w:val="00FB1E42"/>
    <w:rsid w:val="00FB3665"/>
    <w:rsid w:val="00FB78AD"/>
    <w:rsid w:val="00FC4700"/>
    <w:rsid w:val="00FE40D8"/>
    <w:rsid w:val="00FE50FA"/>
    <w:rsid w:val="00FE584E"/>
    <w:rsid w:val="00FF693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0408"/>
    <w:pPr>
      <w:ind w:left="720"/>
      <w:contextualSpacing/>
    </w:pPr>
  </w:style>
  <w:style w:type="paragraph" w:styleId="BalloonText">
    <w:name w:val="Balloon Text"/>
    <w:basedOn w:val="Normal"/>
    <w:link w:val="BalloonTextChar"/>
    <w:uiPriority w:val="99"/>
    <w:semiHidden/>
    <w:unhideWhenUsed/>
    <w:rsid w:val="00362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E4F"/>
    <w:rPr>
      <w:rFonts w:ascii="Tahoma" w:hAnsi="Tahoma" w:cs="Tahoma"/>
      <w:sz w:val="16"/>
      <w:szCs w:val="16"/>
    </w:rPr>
  </w:style>
  <w:style w:type="character" w:styleId="CommentReference">
    <w:name w:val="annotation reference"/>
    <w:basedOn w:val="DefaultParagraphFont"/>
    <w:uiPriority w:val="99"/>
    <w:semiHidden/>
    <w:unhideWhenUsed/>
    <w:rsid w:val="0059328F"/>
    <w:rPr>
      <w:sz w:val="16"/>
      <w:szCs w:val="16"/>
    </w:rPr>
  </w:style>
  <w:style w:type="paragraph" w:styleId="CommentText">
    <w:name w:val="annotation text"/>
    <w:basedOn w:val="Normal"/>
    <w:link w:val="CommentTextChar"/>
    <w:uiPriority w:val="99"/>
    <w:unhideWhenUsed/>
    <w:rsid w:val="0059328F"/>
    <w:pPr>
      <w:spacing w:line="240" w:lineRule="auto"/>
    </w:pPr>
    <w:rPr>
      <w:sz w:val="20"/>
      <w:szCs w:val="20"/>
    </w:rPr>
  </w:style>
  <w:style w:type="character" w:customStyle="1" w:styleId="CommentTextChar">
    <w:name w:val="Comment Text Char"/>
    <w:basedOn w:val="DefaultParagraphFont"/>
    <w:link w:val="CommentText"/>
    <w:uiPriority w:val="99"/>
    <w:rsid w:val="0059328F"/>
    <w:rPr>
      <w:sz w:val="20"/>
      <w:szCs w:val="20"/>
    </w:rPr>
  </w:style>
  <w:style w:type="paragraph" w:styleId="CommentSubject">
    <w:name w:val="annotation subject"/>
    <w:basedOn w:val="CommentText"/>
    <w:next w:val="CommentText"/>
    <w:link w:val="CommentSubjectChar"/>
    <w:uiPriority w:val="99"/>
    <w:semiHidden/>
    <w:unhideWhenUsed/>
    <w:rsid w:val="0059328F"/>
    <w:rPr>
      <w:b/>
      <w:bCs/>
    </w:rPr>
  </w:style>
  <w:style w:type="character" w:customStyle="1" w:styleId="CommentSubjectChar">
    <w:name w:val="Comment Subject Char"/>
    <w:basedOn w:val="CommentTextChar"/>
    <w:link w:val="CommentSubject"/>
    <w:uiPriority w:val="99"/>
    <w:semiHidden/>
    <w:rsid w:val="0059328F"/>
    <w:rPr>
      <w:b/>
      <w:bCs/>
      <w:sz w:val="20"/>
      <w:szCs w:val="20"/>
    </w:rPr>
  </w:style>
  <w:style w:type="paragraph" w:styleId="Header">
    <w:name w:val="header"/>
    <w:basedOn w:val="Normal"/>
    <w:link w:val="HeaderChar"/>
    <w:uiPriority w:val="99"/>
    <w:unhideWhenUsed/>
    <w:rsid w:val="00BE4E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EC1"/>
  </w:style>
  <w:style w:type="paragraph" w:styleId="Footer">
    <w:name w:val="footer"/>
    <w:basedOn w:val="Normal"/>
    <w:link w:val="FooterChar"/>
    <w:uiPriority w:val="99"/>
    <w:unhideWhenUsed/>
    <w:rsid w:val="00BE4E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EC1"/>
  </w:style>
  <w:style w:type="character" w:styleId="SubtleEmphasis">
    <w:name w:val="Subtle Emphasis"/>
    <w:basedOn w:val="DefaultParagraphFont"/>
    <w:uiPriority w:val="19"/>
    <w:qFormat/>
    <w:rsid w:val="00ED3626"/>
    <w:rPr>
      <w:i/>
      <w:iCs/>
      <w:color w:val="808080" w:themeColor="text1" w:themeTint="7F"/>
    </w:rPr>
  </w:style>
  <w:style w:type="paragraph" w:styleId="Revision">
    <w:name w:val="Revision"/>
    <w:hidden/>
    <w:uiPriority w:val="99"/>
    <w:semiHidden/>
    <w:rsid w:val="00B57841"/>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0408"/>
    <w:pPr>
      <w:ind w:left="720"/>
      <w:contextualSpacing/>
    </w:pPr>
  </w:style>
  <w:style w:type="paragraph" w:styleId="BalloonText">
    <w:name w:val="Balloon Text"/>
    <w:basedOn w:val="Normal"/>
    <w:link w:val="BalloonTextChar"/>
    <w:uiPriority w:val="99"/>
    <w:semiHidden/>
    <w:unhideWhenUsed/>
    <w:rsid w:val="00362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E4F"/>
    <w:rPr>
      <w:rFonts w:ascii="Tahoma" w:hAnsi="Tahoma" w:cs="Tahoma"/>
      <w:sz w:val="16"/>
      <w:szCs w:val="16"/>
    </w:rPr>
  </w:style>
  <w:style w:type="character" w:styleId="CommentReference">
    <w:name w:val="annotation reference"/>
    <w:basedOn w:val="DefaultParagraphFont"/>
    <w:uiPriority w:val="99"/>
    <w:semiHidden/>
    <w:unhideWhenUsed/>
    <w:rsid w:val="0059328F"/>
    <w:rPr>
      <w:sz w:val="16"/>
      <w:szCs w:val="16"/>
    </w:rPr>
  </w:style>
  <w:style w:type="paragraph" w:styleId="CommentText">
    <w:name w:val="annotation text"/>
    <w:basedOn w:val="Normal"/>
    <w:link w:val="CommentTextChar"/>
    <w:uiPriority w:val="99"/>
    <w:unhideWhenUsed/>
    <w:rsid w:val="0059328F"/>
    <w:pPr>
      <w:spacing w:line="240" w:lineRule="auto"/>
    </w:pPr>
    <w:rPr>
      <w:sz w:val="20"/>
      <w:szCs w:val="20"/>
    </w:rPr>
  </w:style>
  <w:style w:type="character" w:customStyle="1" w:styleId="CommentTextChar">
    <w:name w:val="Comment Text Char"/>
    <w:basedOn w:val="DefaultParagraphFont"/>
    <w:link w:val="CommentText"/>
    <w:uiPriority w:val="99"/>
    <w:rsid w:val="0059328F"/>
    <w:rPr>
      <w:sz w:val="20"/>
      <w:szCs w:val="20"/>
    </w:rPr>
  </w:style>
  <w:style w:type="paragraph" w:styleId="CommentSubject">
    <w:name w:val="annotation subject"/>
    <w:basedOn w:val="CommentText"/>
    <w:next w:val="CommentText"/>
    <w:link w:val="CommentSubjectChar"/>
    <w:uiPriority w:val="99"/>
    <w:semiHidden/>
    <w:unhideWhenUsed/>
    <w:rsid w:val="0059328F"/>
    <w:rPr>
      <w:b/>
      <w:bCs/>
    </w:rPr>
  </w:style>
  <w:style w:type="character" w:customStyle="1" w:styleId="CommentSubjectChar">
    <w:name w:val="Comment Subject Char"/>
    <w:basedOn w:val="CommentTextChar"/>
    <w:link w:val="CommentSubject"/>
    <w:uiPriority w:val="99"/>
    <w:semiHidden/>
    <w:rsid w:val="0059328F"/>
    <w:rPr>
      <w:b/>
      <w:bCs/>
      <w:sz w:val="20"/>
      <w:szCs w:val="20"/>
    </w:rPr>
  </w:style>
  <w:style w:type="paragraph" w:styleId="Header">
    <w:name w:val="header"/>
    <w:basedOn w:val="Normal"/>
    <w:link w:val="HeaderChar"/>
    <w:uiPriority w:val="99"/>
    <w:unhideWhenUsed/>
    <w:rsid w:val="00BE4E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EC1"/>
  </w:style>
  <w:style w:type="paragraph" w:styleId="Footer">
    <w:name w:val="footer"/>
    <w:basedOn w:val="Normal"/>
    <w:link w:val="FooterChar"/>
    <w:uiPriority w:val="99"/>
    <w:unhideWhenUsed/>
    <w:rsid w:val="00BE4E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EC1"/>
  </w:style>
  <w:style w:type="character" w:styleId="SubtleEmphasis">
    <w:name w:val="Subtle Emphasis"/>
    <w:basedOn w:val="DefaultParagraphFont"/>
    <w:uiPriority w:val="19"/>
    <w:qFormat/>
    <w:rsid w:val="00ED3626"/>
    <w:rPr>
      <w:i/>
      <w:iCs/>
      <w:color w:val="808080" w:themeColor="text1" w:themeTint="7F"/>
    </w:rPr>
  </w:style>
  <w:style w:type="paragraph" w:styleId="Revision">
    <w:name w:val="Revision"/>
    <w:hidden/>
    <w:uiPriority w:val="99"/>
    <w:semiHidden/>
    <w:rsid w:val="00B57841"/>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217293">
      <w:bodyDiv w:val="1"/>
      <w:marLeft w:val="0"/>
      <w:marRight w:val="0"/>
      <w:marTop w:val="0"/>
      <w:marBottom w:val="0"/>
      <w:divBdr>
        <w:top w:val="none" w:sz="0" w:space="0" w:color="auto"/>
        <w:left w:val="none" w:sz="0" w:space="0" w:color="auto"/>
        <w:bottom w:val="none" w:sz="0" w:space="0" w:color="auto"/>
        <w:right w:val="none" w:sz="0" w:space="0" w:color="auto"/>
      </w:divBdr>
    </w:div>
    <w:div w:id="1324625529">
      <w:bodyDiv w:val="1"/>
      <w:marLeft w:val="0"/>
      <w:marRight w:val="0"/>
      <w:marTop w:val="0"/>
      <w:marBottom w:val="0"/>
      <w:divBdr>
        <w:top w:val="none" w:sz="0" w:space="0" w:color="auto"/>
        <w:left w:val="none" w:sz="0" w:space="0" w:color="auto"/>
        <w:bottom w:val="none" w:sz="0" w:space="0" w:color="auto"/>
        <w:right w:val="none" w:sz="0" w:space="0" w:color="auto"/>
      </w:divBdr>
    </w:div>
    <w:div w:id="1468813414">
      <w:bodyDiv w:val="1"/>
      <w:marLeft w:val="0"/>
      <w:marRight w:val="0"/>
      <w:marTop w:val="0"/>
      <w:marBottom w:val="0"/>
      <w:divBdr>
        <w:top w:val="none" w:sz="0" w:space="0" w:color="auto"/>
        <w:left w:val="none" w:sz="0" w:space="0" w:color="auto"/>
        <w:bottom w:val="none" w:sz="0" w:space="0" w:color="auto"/>
        <w:right w:val="none" w:sz="0" w:space="0" w:color="auto"/>
      </w:divBdr>
    </w:div>
    <w:div w:id="177304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9694-9577-47F8-90A9-3B5F191AF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5958</Words>
  <Characters>33962</Characters>
  <Application>Microsoft Office Word</Application>
  <DocSecurity>4</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39841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 Anmeghichean</dc:creator>
  <cp:lastModifiedBy>Daphne Panayotatos</cp:lastModifiedBy>
  <cp:revision>2</cp:revision>
  <dcterms:created xsi:type="dcterms:W3CDTF">2014-07-10T13:51:00Z</dcterms:created>
  <dcterms:modified xsi:type="dcterms:W3CDTF">2014-07-10T13:51:00Z</dcterms:modified>
</cp:coreProperties>
</file>