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522" w:rsidRDefault="006661C2" w:rsidP="00E73522">
      <w:pPr>
        <w:spacing w:after="0"/>
        <w:jc w:val="center"/>
        <w:rPr>
          <w:b/>
        </w:rPr>
      </w:pPr>
      <w:r>
        <w:rPr>
          <w:b/>
        </w:rPr>
        <w:t xml:space="preserve">Strengthening the implementation of domestic violence laws and policies </w:t>
      </w:r>
    </w:p>
    <w:p w:rsidR="003E4312" w:rsidRDefault="000450E4" w:rsidP="00E73522">
      <w:pPr>
        <w:spacing w:after="0"/>
        <w:jc w:val="center"/>
        <w:rPr>
          <w:b/>
        </w:rPr>
      </w:pPr>
      <w:r w:rsidRPr="00845619">
        <w:rPr>
          <w:b/>
        </w:rPr>
        <w:t>Portfolio Review</w:t>
      </w:r>
      <w:r w:rsidR="003E4312">
        <w:rPr>
          <w:b/>
        </w:rPr>
        <w:t xml:space="preserve"> Outcomes Summary</w:t>
      </w:r>
    </w:p>
    <w:p w:rsidR="00E67BC3" w:rsidRDefault="00E67BC3" w:rsidP="00E73522">
      <w:pPr>
        <w:spacing w:after="120"/>
        <w:jc w:val="center"/>
        <w:rPr>
          <w:b/>
        </w:rPr>
      </w:pPr>
      <w:r>
        <w:rPr>
          <w:b/>
        </w:rPr>
        <w:t>February 13, 2015</w:t>
      </w:r>
    </w:p>
    <w:p w:rsidR="003E4312" w:rsidRDefault="00586A9D">
      <w:r>
        <w:t>Participants: Chris Stone, Emily Martinez, Katherine Acey</w:t>
      </w:r>
      <w:r w:rsidR="006661C2">
        <w:t xml:space="preserve"> (discussant)</w:t>
      </w:r>
      <w:r>
        <w:t>, Michael Heflin</w:t>
      </w:r>
      <w:r w:rsidR="006661C2">
        <w:t xml:space="preserve"> (moderator)</w:t>
      </w:r>
      <w:r>
        <w:t xml:space="preserve">, </w:t>
      </w:r>
      <w:r w:rsidR="009370F3">
        <w:t xml:space="preserve">Yervand Shirinyan, </w:t>
      </w:r>
      <w:r w:rsidR="00DF6A67" w:rsidRPr="00DF6A67">
        <w:t>Cynthia Eyakuze</w:t>
      </w:r>
      <w:r>
        <w:t>, Herta Toth</w:t>
      </w:r>
      <w:r w:rsidR="006661C2">
        <w:t xml:space="preserve"> (presenter)</w:t>
      </w:r>
      <w:r>
        <w:t>, Mari</w:t>
      </w:r>
      <w:r w:rsidR="008103CF">
        <w:t>ana Berbec-Rostas</w:t>
      </w:r>
      <w:r>
        <w:t>, Andrea</w:t>
      </w:r>
      <w:r w:rsidR="008103CF">
        <w:t xml:space="preserve"> </w:t>
      </w:r>
      <w:r w:rsidR="008103CF" w:rsidRPr="008103CF">
        <w:t>Simonits</w:t>
      </w:r>
      <w:r>
        <w:t>, Daphne</w:t>
      </w:r>
      <w:r w:rsidR="00DF6A67">
        <w:t xml:space="preserve"> </w:t>
      </w:r>
      <w:r w:rsidR="00DF6A67" w:rsidRPr="00DF6A67">
        <w:t>Panayotatos</w:t>
      </w:r>
      <w:r w:rsidR="006661C2">
        <w:t xml:space="preserve">, Giselle Kasim. </w:t>
      </w:r>
    </w:p>
    <w:p w:rsidR="006661C2" w:rsidRPr="00271BBF" w:rsidRDefault="00411DDD">
      <w:pPr>
        <w:rPr>
          <w:i/>
        </w:rPr>
      </w:pPr>
      <w:r w:rsidRPr="00284FC5">
        <w:rPr>
          <w:b/>
          <w:i/>
        </w:rPr>
        <w:t>Theory of c</w:t>
      </w:r>
      <w:r w:rsidR="00284FC5" w:rsidRPr="00284FC5">
        <w:rPr>
          <w:b/>
          <w:i/>
        </w:rPr>
        <w:t>hange</w:t>
      </w:r>
      <w:r w:rsidR="00284FC5">
        <w:rPr>
          <w:i/>
        </w:rPr>
        <w:t xml:space="preserve"> - </w:t>
      </w:r>
      <w:r w:rsidR="00AF2A28">
        <w:rPr>
          <w:i/>
        </w:rPr>
        <w:t>Was our theory of change overly focused on one particular strategy? W</w:t>
      </w:r>
      <w:r w:rsidR="00271BBF" w:rsidRPr="00271BBF">
        <w:rPr>
          <w:i/>
        </w:rPr>
        <w:t xml:space="preserve">as there sufficient flexibility in our grant-making to </w:t>
      </w:r>
      <w:r w:rsidR="007E693D" w:rsidRPr="00271BBF">
        <w:rPr>
          <w:i/>
        </w:rPr>
        <w:t>adapt</w:t>
      </w:r>
      <w:r w:rsidR="00271BBF" w:rsidRPr="00271BBF">
        <w:rPr>
          <w:i/>
        </w:rPr>
        <w:t xml:space="preserve"> to contextual changes and lessons learnt</w:t>
      </w:r>
      <w:r w:rsidR="005A5A86">
        <w:rPr>
          <w:i/>
        </w:rPr>
        <w:t xml:space="preserve"> during the eight years covered</w:t>
      </w:r>
      <w:r w:rsidR="00271BBF" w:rsidRPr="00271BBF">
        <w:rPr>
          <w:i/>
        </w:rPr>
        <w:t>?</w:t>
      </w:r>
      <w:r w:rsidR="00AF2A28">
        <w:rPr>
          <w:i/>
        </w:rPr>
        <w:t xml:space="preserve"> </w:t>
      </w:r>
    </w:p>
    <w:p w:rsidR="00AA21CB" w:rsidRDefault="00906F42" w:rsidP="006E30F0">
      <w:pPr>
        <w:jc w:val="both"/>
      </w:pPr>
      <w:r>
        <w:t>A</w:t>
      </w:r>
      <w:r w:rsidR="00B86C4C">
        <w:t xml:space="preserve">lthough there was general consensus that the progress achieved in the implementation of domestic violence laws </w:t>
      </w:r>
      <w:r w:rsidR="00A81BDF">
        <w:t xml:space="preserve">in Eastern Europe </w:t>
      </w:r>
      <w:r w:rsidR="00B86C4C">
        <w:t>was impressive, a</w:t>
      </w:r>
      <w:r>
        <w:t xml:space="preserve"> </w:t>
      </w:r>
      <w:r w:rsidR="007803FD">
        <w:t>substantial part</w:t>
      </w:r>
      <w:r w:rsidR="003D7673">
        <w:t xml:space="preserve"> of the </w:t>
      </w:r>
      <w:r>
        <w:t xml:space="preserve">discussion focused on analyzing the assumptions behind our theory of change. </w:t>
      </w:r>
      <w:r w:rsidR="003D7673">
        <w:t>HRI</w:t>
      </w:r>
      <w:r>
        <w:t xml:space="preserve"> </w:t>
      </w:r>
      <w:r w:rsidR="003D7673">
        <w:t>funded</w:t>
      </w:r>
      <w:r w:rsidR="00C22A8C">
        <w:t xml:space="preserve"> key women’s rights groups in Eastern Europe</w:t>
      </w:r>
      <w:r>
        <w:t xml:space="preserve"> to undertake monitoring, litigation and advocacy work in order to </w:t>
      </w:r>
      <w:r w:rsidR="00C22A8C">
        <w:t xml:space="preserve">put pressure on states </w:t>
      </w:r>
      <w:r>
        <w:t>to implement the domestic viol</w:t>
      </w:r>
      <w:r w:rsidR="00AF2A28">
        <w:t>ence laws</w:t>
      </w:r>
      <w:r w:rsidR="002E3EC7">
        <w:t xml:space="preserve"> they had</w:t>
      </w:r>
      <w:r w:rsidR="00AF2A28">
        <w:t xml:space="preserve"> </w:t>
      </w:r>
      <w:r w:rsidR="002E3EC7">
        <w:t>adopted</w:t>
      </w:r>
      <w:r w:rsidR="00AF2A28">
        <w:t xml:space="preserve"> </w:t>
      </w:r>
      <w:r w:rsidR="002E3EC7">
        <w:t>in</w:t>
      </w:r>
      <w:r w:rsidR="00AF2A28">
        <w:t xml:space="preserve"> the mid-2000s</w:t>
      </w:r>
      <w:r w:rsidR="0005570A">
        <w:t xml:space="preserve">. Our theory of change was that using the momentum </w:t>
      </w:r>
      <w:r w:rsidR="002E3EC7">
        <w:t>created</w:t>
      </w:r>
      <w:r w:rsidR="0005570A">
        <w:t xml:space="preserve"> by strong international and European standards on violence against women as well as the </w:t>
      </w:r>
      <w:r w:rsidR="002E539D">
        <w:t xml:space="preserve">favorable </w:t>
      </w:r>
      <w:r w:rsidR="007E693D">
        <w:t>environment</w:t>
      </w:r>
      <w:r w:rsidR="0005570A">
        <w:t xml:space="preserve"> to promote women’s righ</w:t>
      </w:r>
      <w:r w:rsidR="006E30F0">
        <w:t>ts in Eastern Europe</w:t>
      </w:r>
      <w:r w:rsidR="002E539D">
        <w:t xml:space="preserve"> created by European integration</w:t>
      </w:r>
      <w:r w:rsidR="0005570A">
        <w:t>, key women’s rights groups w</w:t>
      </w:r>
      <w:r w:rsidR="002E3EC7">
        <w:t>ould</w:t>
      </w:r>
      <w:r w:rsidR="0005570A">
        <w:t xml:space="preserve"> be able to put substan</w:t>
      </w:r>
      <w:r w:rsidR="006E30F0">
        <w:t>tial pres</w:t>
      </w:r>
      <w:r w:rsidR="002E539D">
        <w:t xml:space="preserve">sure on </w:t>
      </w:r>
      <w:r w:rsidR="002E3EC7">
        <w:t xml:space="preserve">their </w:t>
      </w:r>
      <w:r w:rsidR="006E30F0">
        <w:t>government</w:t>
      </w:r>
      <w:r w:rsidR="002E539D">
        <w:t xml:space="preserve">s </w:t>
      </w:r>
      <w:r w:rsidR="002E3EC7">
        <w:t xml:space="preserve">to </w:t>
      </w:r>
      <w:r w:rsidR="002E539D">
        <w:t>implement</w:t>
      </w:r>
      <w:r w:rsidR="002E3EC7">
        <w:t xml:space="preserve"> domestic violence laws</w:t>
      </w:r>
      <w:r w:rsidR="002E539D">
        <w:t xml:space="preserve"> even in</w:t>
      </w:r>
      <w:r w:rsidR="0005570A">
        <w:t xml:space="preserve"> the </w:t>
      </w:r>
      <w:r w:rsidR="002E539D">
        <w:t xml:space="preserve">absence of strong </w:t>
      </w:r>
      <w:r w:rsidR="0005570A">
        <w:t>women’s</w:t>
      </w:r>
      <w:r w:rsidR="002E3EC7">
        <w:t xml:space="preserve"> rights</w:t>
      </w:r>
      <w:r w:rsidR="0005570A">
        <w:t xml:space="preserve"> movement</w:t>
      </w:r>
      <w:r w:rsidR="002E539D">
        <w:t>s</w:t>
      </w:r>
      <w:r w:rsidR="0005570A">
        <w:t xml:space="preserve">. </w:t>
      </w:r>
      <w:r>
        <w:t xml:space="preserve">Katherine Acey </w:t>
      </w:r>
      <w:r w:rsidR="0005570A">
        <w:t>asked</w:t>
      </w:r>
      <w:r>
        <w:t xml:space="preserve"> </w:t>
      </w:r>
      <w:r w:rsidR="0005570A">
        <w:t>whether</w:t>
      </w:r>
      <w:r w:rsidR="00C22A8C">
        <w:t xml:space="preserve"> </w:t>
      </w:r>
      <w:r w:rsidR="006E30F0">
        <w:t xml:space="preserve">this theory of change was </w:t>
      </w:r>
      <w:r w:rsidR="00C22A8C">
        <w:t>realistic</w:t>
      </w:r>
      <w:r>
        <w:t xml:space="preserve"> given the </w:t>
      </w:r>
      <w:r w:rsidR="006E30F0">
        <w:t>major leap this required women’s ri</w:t>
      </w:r>
      <w:r w:rsidR="002E539D">
        <w:t>ghts groups to take from</w:t>
      </w:r>
      <w:r w:rsidR="006E30F0">
        <w:t xml:space="preserve"> service </w:t>
      </w:r>
      <w:r w:rsidR="002E539D">
        <w:t xml:space="preserve">provision </w:t>
      </w:r>
      <w:r w:rsidR="006E30F0">
        <w:t>to undertaking litigat</w:t>
      </w:r>
      <w:r w:rsidR="007803FD">
        <w:t>ion and advocacy work. She</w:t>
      </w:r>
      <w:r w:rsidR="006E30F0">
        <w:t xml:space="preserve"> expressed concern as to whether these groups were able to retain the</w:t>
      </w:r>
      <w:r w:rsidR="00AA21CB">
        <w:t xml:space="preserve"> essential</w:t>
      </w:r>
      <w:r w:rsidR="006E30F0">
        <w:t xml:space="preserve"> service provision work</w:t>
      </w:r>
      <w:r w:rsidR="002E3EC7">
        <w:t xml:space="preserve"> for victims of violence while also </w:t>
      </w:r>
      <w:r w:rsidR="006E30F0">
        <w:t>taking up new roles</w:t>
      </w:r>
      <w:r w:rsidR="002E3EC7">
        <w:t xml:space="preserve"> that required different skills</w:t>
      </w:r>
      <w:r w:rsidR="006E30F0">
        <w:t>.</w:t>
      </w:r>
      <w:r w:rsidR="00724E05">
        <w:t xml:space="preserve"> </w:t>
      </w:r>
      <w:r w:rsidR="00AA21CB">
        <w:t>An additional question</w:t>
      </w:r>
      <w:r w:rsidR="002E3EC7">
        <w:t xml:space="preserve"> raised by both</w:t>
      </w:r>
      <w:r w:rsidR="00AA21CB">
        <w:t xml:space="preserve"> Katherine Acey and Chris Stone </w:t>
      </w:r>
      <w:r w:rsidR="002E3EC7">
        <w:t>was</w:t>
      </w:r>
      <w:r w:rsidR="00AA21CB">
        <w:t xml:space="preserve"> whether relying on </w:t>
      </w:r>
      <w:r w:rsidR="002E3EC7">
        <w:t>the advocacy of</w:t>
      </w:r>
      <w:r w:rsidR="00AA21CB">
        <w:t xml:space="preserve"> women’</w:t>
      </w:r>
      <w:r w:rsidR="00B86C4C">
        <w:t>s rights groups</w:t>
      </w:r>
      <w:r w:rsidR="002E539D">
        <w:t>’</w:t>
      </w:r>
      <w:r w:rsidR="00B86C4C">
        <w:t xml:space="preserve"> </w:t>
      </w:r>
      <w:r w:rsidR="003D7673">
        <w:t>a</w:t>
      </w:r>
      <w:r w:rsidR="002E3EC7">
        <w:t>lone</w:t>
      </w:r>
      <w:r w:rsidR="00AA21CB">
        <w:t xml:space="preserve"> </w:t>
      </w:r>
      <w:r w:rsidR="00B86C4C">
        <w:t xml:space="preserve">to strengthen implementation </w:t>
      </w:r>
      <w:r w:rsidR="002E539D">
        <w:t>was</w:t>
      </w:r>
      <w:r w:rsidR="00AA21CB">
        <w:t xml:space="preserve"> </w:t>
      </w:r>
      <w:r w:rsidR="002E3EC7">
        <w:t>realistic and ultimately as effective as we hoped</w:t>
      </w:r>
      <w:r w:rsidR="002E539D">
        <w:t>.</w:t>
      </w:r>
      <w:r w:rsidR="00AF2A28">
        <w:t xml:space="preserve"> Katherine Acey asked</w:t>
      </w:r>
      <w:r w:rsidR="002E539D">
        <w:t xml:space="preserve"> </w:t>
      </w:r>
      <w:r w:rsidR="00AA21CB">
        <w:t xml:space="preserve">whether our program’s strategy </w:t>
      </w:r>
      <w:r w:rsidR="00B86C4C">
        <w:t xml:space="preserve">was flexible enough to allow for </w:t>
      </w:r>
      <w:r w:rsidR="00AA21CB">
        <w:t>the development of alternative theories of chan</w:t>
      </w:r>
      <w:r w:rsidR="00B86C4C">
        <w:t>ge</w:t>
      </w:r>
      <w:r w:rsidR="00724E05">
        <w:t>. I</w:t>
      </w:r>
      <w:r w:rsidR="002E539D">
        <w:t xml:space="preserve">n particular, </w:t>
      </w:r>
      <w:r w:rsidR="00724E05">
        <w:t>Katherine was wondering whether once we recognized that women’s rights groups did not prioritize movement-building, there was sufficient reflection and flexibility within our strategy to encourage and fund the development of movement-building efforts</w:t>
      </w:r>
      <w:r w:rsidR="00AF2A28">
        <w:t xml:space="preserve"> as a conscious strategy to </w:t>
      </w:r>
      <w:r w:rsidR="002E3EC7">
        <w:t>increase</w:t>
      </w:r>
      <w:r w:rsidR="00AF2A28">
        <w:t xml:space="preserve"> public pressure and strengthen the sustainability </w:t>
      </w:r>
      <w:r w:rsidR="002E3EC7">
        <w:t>of implementation efforts</w:t>
      </w:r>
      <w:r w:rsidR="00B86C4C">
        <w:t>.</w:t>
      </w:r>
      <w:r w:rsidR="00AA21CB">
        <w:t xml:space="preserve"> </w:t>
      </w:r>
    </w:p>
    <w:p w:rsidR="00981002" w:rsidRDefault="00C83E25" w:rsidP="00EE23D2">
      <w:pPr>
        <w:jc w:val="both"/>
      </w:pPr>
      <w:r>
        <w:t>Through the portfolio review discuss</w:t>
      </w:r>
      <w:r w:rsidR="00400A93">
        <w:t>ion</w:t>
      </w:r>
      <w:r w:rsidR="00AF2A28">
        <w:t xml:space="preserve"> we were able to clarify that </w:t>
      </w:r>
      <w:r>
        <w:t xml:space="preserve">the </w:t>
      </w:r>
      <w:r w:rsidR="00D83D19">
        <w:t>w</w:t>
      </w:r>
      <w:r w:rsidR="00AF2A28">
        <w:t xml:space="preserve">omen’s rights groups </w:t>
      </w:r>
      <w:r>
        <w:t xml:space="preserve">we worked with were able to  </w:t>
      </w:r>
      <w:r w:rsidR="00D83D19">
        <w:t>retain</w:t>
      </w:r>
      <w:r>
        <w:t xml:space="preserve"> </w:t>
      </w:r>
      <w:r w:rsidR="0019718D">
        <w:t>their service</w:t>
      </w:r>
      <w:r w:rsidR="00D83D19">
        <w:t xml:space="preserve"> provision work </w:t>
      </w:r>
      <w:r>
        <w:t xml:space="preserve">while at the same time </w:t>
      </w:r>
      <w:r w:rsidR="00EE23D2">
        <w:t xml:space="preserve"> ma</w:t>
      </w:r>
      <w:r>
        <w:t>ke</w:t>
      </w:r>
      <w:r w:rsidR="00EE23D2">
        <w:t xml:space="preserve"> </w:t>
      </w:r>
      <w:r w:rsidR="00D83D19">
        <w:t>significant progress in</w:t>
      </w:r>
      <w:r>
        <w:t xml:space="preserve"> developing their capacity to undertake</w:t>
      </w:r>
      <w:r w:rsidR="00D83D19">
        <w:t xml:space="preserve"> monitoring, litigation and advocacy focused on the implementation of dom</w:t>
      </w:r>
      <w:r w:rsidR="00AF2A28">
        <w:t xml:space="preserve">estic violence laws </w:t>
      </w:r>
      <w:r>
        <w:t xml:space="preserve">. On the other hand, </w:t>
      </w:r>
      <w:r w:rsidR="00470EDB">
        <w:t>there was consensus that we failed</w:t>
      </w:r>
      <w:r w:rsidR="007E693D">
        <w:t xml:space="preserve"> to recognize</w:t>
      </w:r>
      <w:r w:rsidR="00A27777">
        <w:t xml:space="preserve"> some</w:t>
      </w:r>
      <w:r w:rsidR="00470EDB">
        <w:t xml:space="preserve"> </w:t>
      </w:r>
      <w:r w:rsidR="00A27777">
        <w:t xml:space="preserve">opportunities </w:t>
      </w:r>
      <w:r w:rsidR="00AF2A28">
        <w:t xml:space="preserve">for strengthening the </w:t>
      </w:r>
      <w:r w:rsidR="00A27777">
        <w:t xml:space="preserve">limited movement-building work </w:t>
      </w:r>
      <w:r>
        <w:t>being undertaken by</w:t>
      </w:r>
      <w:r w:rsidR="00A27777">
        <w:t xml:space="preserve"> </w:t>
      </w:r>
      <w:r>
        <w:t xml:space="preserve">the </w:t>
      </w:r>
      <w:r w:rsidR="00A27777">
        <w:t>women’s rights groups</w:t>
      </w:r>
      <w:r>
        <w:t xml:space="preserve"> we supported</w:t>
      </w:r>
      <w:r w:rsidR="00A27777">
        <w:t xml:space="preserve">. </w:t>
      </w:r>
      <w:r w:rsidR="00400A93">
        <w:t xml:space="preserve">Staff argued </w:t>
      </w:r>
      <w:r w:rsidR="002E75B8">
        <w:t>that a</w:t>
      </w:r>
      <w:r w:rsidR="00AF2A28">
        <w:t xml:space="preserve">lthough </w:t>
      </w:r>
      <w:r w:rsidR="00A27777">
        <w:t xml:space="preserve">there are social and cultural reasons behind </w:t>
      </w:r>
      <w:r w:rsidR="00A72CFC">
        <w:t xml:space="preserve">the </w:t>
      </w:r>
      <w:r>
        <w:t xml:space="preserve">relatively </w:t>
      </w:r>
      <w:r w:rsidR="002E75B8">
        <w:t>small size and fragility of</w:t>
      </w:r>
      <w:r w:rsidR="00A72CFC">
        <w:t xml:space="preserve"> women’s movements in Eastern Europe, </w:t>
      </w:r>
      <w:r>
        <w:t>these</w:t>
      </w:r>
      <w:r w:rsidR="00A72CFC">
        <w:t xml:space="preserve"> groups could have done more to</w:t>
      </w:r>
      <w:r>
        <w:t xml:space="preserve"> develop leaders and build stronger movements. One tactic that they could have used in this respect would have been to give greater attention to</w:t>
      </w:r>
      <w:r w:rsidR="00A72CFC">
        <w:t xml:space="preserve"> </w:t>
      </w:r>
      <w:r w:rsidR="0019718D">
        <w:t>elevating</w:t>
      </w:r>
      <w:r w:rsidR="00A72CFC">
        <w:t xml:space="preserve"> the voices of </w:t>
      </w:r>
      <w:r w:rsidR="00A72CFC">
        <w:lastRenderedPageBreak/>
        <w:t>survivors within the movement</w:t>
      </w:r>
      <w:r>
        <w:t xml:space="preserve"> including</w:t>
      </w:r>
      <w:r w:rsidR="00A72CFC">
        <w:t xml:space="preserve"> more proactiv</w:t>
      </w:r>
      <w:r>
        <w:t>e</w:t>
      </w:r>
      <w:r w:rsidR="00A72CFC">
        <w:t xml:space="preserve"> </w:t>
      </w:r>
      <w:r>
        <w:t>encouragement of</w:t>
      </w:r>
      <w:r w:rsidR="00A72CFC">
        <w:t xml:space="preserve"> survivors to become activists and agents of change.</w:t>
      </w:r>
      <w:r>
        <w:t xml:space="preserve"> This would have helped develop a new group of leaders with a strong commitment to the issue who could also talk about the issue in personally compelling ways to other women and the broader public.</w:t>
      </w:r>
      <w:r w:rsidR="00EE23D2">
        <w:t xml:space="preserve"> </w:t>
      </w:r>
      <w:r w:rsidR="00A72CFC">
        <w:t>Upon reflection,</w:t>
      </w:r>
      <w:r w:rsidR="00411DDD">
        <w:t xml:space="preserve"> we could have challenge</w:t>
      </w:r>
      <w:r w:rsidR="00981002">
        <w:t xml:space="preserve">d </w:t>
      </w:r>
      <w:r>
        <w:t xml:space="preserve">the generally </w:t>
      </w:r>
      <w:r w:rsidR="0019718D">
        <w:t>overly</w:t>
      </w:r>
      <w:r>
        <w:t xml:space="preserve"> </w:t>
      </w:r>
      <w:r w:rsidR="00411DDD">
        <w:t>protective approach to victims</w:t>
      </w:r>
      <w:r>
        <w:t xml:space="preserve"> taken by the women’s rights groups we funded</w:t>
      </w:r>
      <w:r w:rsidR="00411DDD">
        <w:t>, and w</w:t>
      </w:r>
      <w:r w:rsidR="00981002">
        <w:t>e could have encouraged the inclusion of</w:t>
      </w:r>
      <w:r w:rsidR="00411DDD">
        <w:t xml:space="preserve"> victims as activists </w:t>
      </w:r>
      <w:r w:rsidR="00981002">
        <w:t xml:space="preserve">into the movement. </w:t>
      </w:r>
    </w:p>
    <w:p w:rsidR="00411DDD" w:rsidRDefault="00284FC5" w:rsidP="00EE23D2">
      <w:pPr>
        <w:jc w:val="both"/>
        <w:rPr>
          <w:i/>
        </w:rPr>
      </w:pPr>
      <w:r>
        <w:rPr>
          <w:b/>
          <w:i/>
        </w:rPr>
        <w:t>Geographic focus –</w:t>
      </w:r>
      <w:r>
        <w:rPr>
          <w:i/>
        </w:rPr>
        <w:t xml:space="preserve"> Was it wise to invest in a relatively large number of countries</w:t>
      </w:r>
      <w:r w:rsidR="00271BBF">
        <w:rPr>
          <w:i/>
        </w:rPr>
        <w:t xml:space="preserve"> </w:t>
      </w:r>
      <w:r w:rsidR="00CA6B15">
        <w:rPr>
          <w:i/>
        </w:rPr>
        <w:t xml:space="preserve">with a low number of </w:t>
      </w:r>
      <w:r>
        <w:rPr>
          <w:i/>
        </w:rPr>
        <w:t xml:space="preserve">grants in each or </w:t>
      </w:r>
      <w:r w:rsidR="00565142">
        <w:rPr>
          <w:i/>
        </w:rPr>
        <w:t xml:space="preserve">would we have had greater impact if we had taken a more layered approach providing greater resources </w:t>
      </w:r>
      <w:r w:rsidR="00CA6B15">
        <w:rPr>
          <w:i/>
        </w:rPr>
        <w:t>in few</w:t>
      </w:r>
      <w:r w:rsidR="00565142">
        <w:rPr>
          <w:i/>
        </w:rPr>
        <w:t>er</w:t>
      </w:r>
      <w:r w:rsidR="00411DDD" w:rsidRPr="00411DDD">
        <w:rPr>
          <w:i/>
        </w:rPr>
        <w:t xml:space="preserve"> countries?</w:t>
      </w:r>
      <w:r>
        <w:rPr>
          <w:i/>
        </w:rPr>
        <w:t xml:space="preserve"> C</w:t>
      </w:r>
      <w:r w:rsidR="00CA6B15">
        <w:rPr>
          <w:i/>
        </w:rPr>
        <w:t xml:space="preserve">ould we have anticipated </w:t>
      </w:r>
      <w:r>
        <w:rPr>
          <w:i/>
        </w:rPr>
        <w:t>some of the challenges faced in</w:t>
      </w:r>
      <w:r w:rsidR="00565142">
        <w:rPr>
          <w:i/>
        </w:rPr>
        <w:t xml:space="preserve"> particular difficult countries </w:t>
      </w:r>
      <w:r w:rsidR="0019718D">
        <w:rPr>
          <w:i/>
        </w:rPr>
        <w:t>like Russia</w:t>
      </w:r>
      <w:r w:rsidR="00565142">
        <w:rPr>
          <w:i/>
        </w:rPr>
        <w:t>,</w:t>
      </w:r>
      <w:r w:rsidR="00CA6B15">
        <w:rPr>
          <w:i/>
        </w:rPr>
        <w:t xml:space="preserve"> and</w:t>
      </w:r>
      <w:r w:rsidR="00EC2877">
        <w:rPr>
          <w:i/>
        </w:rPr>
        <w:t xml:space="preserve"> </w:t>
      </w:r>
      <w:r w:rsidR="00565142">
        <w:rPr>
          <w:i/>
        </w:rPr>
        <w:t xml:space="preserve">would that have impacted our criteria for </w:t>
      </w:r>
      <w:r>
        <w:rPr>
          <w:i/>
        </w:rPr>
        <w:t>country</w:t>
      </w:r>
      <w:r w:rsidR="00CA6B15">
        <w:rPr>
          <w:i/>
        </w:rPr>
        <w:t xml:space="preserve"> </w:t>
      </w:r>
      <w:r w:rsidR="0019718D">
        <w:rPr>
          <w:i/>
        </w:rPr>
        <w:t>selection</w:t>
      </w:r>
      <w:r w:rsidR="00CA6B15">
        <w:rPr>
          <w:i/>
        </w:rPr>
        <w:t>?</w:t>
      </w:r>
    </w:p>
    <w:p w:rsidR="009370F3" w:rsidRPr="009370F3" w:rsidRDefault="001A71CE" w:rsidP="00EE23D2">
      <w:pPr>
        <w:jc w:val="both"/>
      </w:pPr>
      <w:r>
        <w:t>Although</w:t>
      </w:r>
      <w:r w:rsidR="00565142">
        <w:t xml:space="preserve"> there was measurable</w:t>
      </w:r>
      <w:r>
        <w:t xml:space="preserve"> progress in the </w:t>
      </w:r>
      <w:r w:rsidR="00565142">
        <w:t xml:space="preserve">capacity of our grantees to undertake legal advocacy in most of the countries we invested in as well as actual improvements in </w:t>
      </w:r>
      <w:r>
        <w:t>implementation of domestic violence l</w:t>
      </w:r>
      <w:r w:rsidR="00565142">
        <w:t>aws, there were</w:t>
      </w:r>
      <w:r w:rsidR="009370F3">
        <w:t xml:space="preserve"> significant </w:t>
      </w:r>
      <w:r>
        <w:t xml:space="preserve">differences </w:t>
      </w:r>
      <w:r w:rsidR="00604666">
        <w:t>in terms of the</w:t>
      </w:r>
      <w:r w:rsidR="00565142">
        <w:t xml:space="preserve"> level of </w:t>
      </w:r>
      <w:r w:rsidR="00604666">
        <w:t>impact achieved</w:t>
      </w:r>
      <w:r>
        <w:t>.</w:t>
      </w:r>
      <w:r w:rsidR="009370F3">
        <w:t xml:space="preserve"> </w:t>
      </w:r>
      <w:r w:rsidR="00565142">
        <w:t>F</w:t>
      </w:r>
      <w:r w:rsidR="007E693D">
        <w:t>or instance</w:t>
      </w:r>
      <w:r w:rsidR="00565142">
        <w:t>,</w:t>
      </w:r>
      <w:r w:rsidR="007E693D">
        <w:t xml:space="preserve"> </w:t>
      </w:r>
      <w:r>
        <w:t xml:space="preserve">in </w:t>
      </w:r>
      <w:r w:rsidR="009370F3">
        <w:t>Bulg</w:t>
      </w:r>
      <w:r w:rsidR="00F92FCF">
        <w:t>aria strong</w:t>
      </w:r>
      <w:r w:rsidR="009370F3">
        <w:t xml:space="preserve"> progress w</w:t>
      </w:r>
      <w:r>
        <w:t xml:space="preserve">as achieved </w:t>
      </w:r>
      <w:r w:rsidR="00F92FCF">
        <w:t>in the</w:t>
      </w:r>
      <w:r w:rsidR="009370F3">
        <w:t xml:space="preserve"> implementation of </w:t>
      </w:r>
      <w:r w:rsidR="0086683B">
        <w:t xml:space="preserve">the </w:t>
      </w:r>
      <w:r w:rsidR="009370F3">
        <w:t xml:space="preserve">domestic violence law and </w:t>
      </w:r>
      <w:r w:rsidR="0086683B">
        <w:t xml:space="preserve">regional leaders </w:t>
      </w:r>
      <w:r w:rsidR="00F92FCF">
        <w:t xml:space="preserve">emerged </w:t>
      </w:r>
      <w:r w:rsidR="0086683B">
        <w:t xml:space="preserve">among </w:t>
      </w:r>
      <w:r w:rsidR="00CD1CF9">
        <w:t xml:space="preserve">the </w:t>
      </w:r>
      <w:r w:rsidR="009370F3">
        <w:t>women’s rights groups</w:t>
      </w:r>
      <w:r w:rsidR="00CD1CF9">
        <w:t xml:space="preserve"> supported by HRI. On the other hand,</w:t>
      </w:r>
      <w:r w:rsidR="009370F3">
        <w:t xml:space="preserve"> Russia</w:t>
      </w:r>
      <w:r w:rsidR="00CD1CF9">
        <w:t xml:space="preserve"> still</w:t>
      </w:r>
      <w:r w:rsidR="009370F3">
        <w:t xml:space="preserve"> </w:t>
      </w:r>
      <w:r w:rsidR="007E693D">
        <w:t>has yet</w:t>
      </w:r>
      <w:r>
        <w:t xml:space="preserve"> </w:t>
      </w:r>
      <w:r w:rsidR="007E693D">
        <w:t xml:space="preserve">to </w:t>
      </w:r>
      <w:r w:rsidR="00CD1CF9">
        <w:t xml:space="preserve">even </w:t>
      </w:r>
      <w:r w:rsidR="007E693D">
        <w:t xml:space="preserve">adopt </w:t>
      </w:r>
      <w:r w:rsidR="00CD1CF9">
        <w:t>a</w:t>
      </w:r>
      <w:r w:rsidR="007803FD">
        <w:t xml:space="preserve"> domestic violence</w:t>
      </w:r>
      <w:r w:rsidR="007E693D">
        <w:t xml:space="preserve"> law.</w:t>
      </w:r>
      <w:r>
        <w:t xml:space="preserve"> </w:t>
      </w:r>
      <w:r w:rsidR="007E693D">
        <w:t>Despite a</w:t>
      </w:r>
      <w:r w:rsidR="007803FD">
        <w:t xml:space="preserve"> remarkable increase in </w:t>
      </w:r>
      <w:r w:rsidR="0086683B">
        <w:t>the capacity of</w:t>
      </w:r>
      <w:r w:rsidR="007E693D">
        <w:t xml:space="preserve"> Russian</w:t>
      </w:r>
      <w:r w:rsidR="0086683B">
        <w:t xml:space="preserve"> women’s rights groups to undertake monitoring</w:t>
      </w:r>
      <w:r w:rsidR="007803FD">
        <w:t xml:space="preserve"> and legal advocacy</w:t>
      </w:r>
      <w:r w:rsidR="0086683B">
        <w:t xml:space="preserve">, overall their ability to achieve change </w:t>
      </w:r>
      <w:r w:rsidR="00CD1CF9">
        <w:t xml:space="preserve">has </w:t>
      </w:r>
      <w:r w:rsidR="0086683B">
        <w:t xml:space="preserve">remained limited. </w:t>
      </w:r>
      <w:r w:rsidR="007803FD">
        <w:t xml:space="preserve">This is partly due to the backlash </w:t>
      </w:r>
      <w:r w:rsidR="00CD1CF9">
        <w:t>against</w:t>
      </w:r>
      <w:r w:rsidR="007803FD">
        <w:t xml:space="preserve"> gender equality and the deteriorating political environ</w:t>
      </w:r>
      <w:r w:rsidR="007A2308">
        <w:t>ment for human rights</w:t>
      </w:r>
      <w:r w:rsidR="00CD1CF9">
        <w:t xml:space="preserve"> overall</w:t>
      </w:r>
      <w:r w:rsidR="007E693D">
        <w:t>, however</w:t>
      </w:r>
      <w:r w:rsidR="00CD1CF9">
        <w:t>,</w:t>
      </w:r>
      <w:r w:rsidR="007E693D">
        <w:t xml:space="preserve"> </w:t>
      </w:r>
      <w:r w:rsidR="00CD1CF9">
        <w:t xml:space="preserve">we  wonder whether there was more we could have done to improve impact there? </w:t>
      </w:r>
      <w:r w:rsidR="007E693D">
        <w:t xml:space="preserve"> For instance,</w:t>
      </w:r>
      <w:r w:rsidR="007A2308">
        <w:t xml:space="preserve"> </w:t>
      </w:r>
      <w:r w:rsidR="007E693D">
        <w:t>would it have made a difference to invest</w:t>
      </w:r>
      <w:r w:rsidR="007A2308">
        <w:t xml:space="preserve"> in groups outside Moscow and St. </w:t>
      </w:r>
      <w:r w:rsidR="007E693D">
        <w:t>Petersburg</w:t>
      </w:r>
      <w:r w:rsidR="00CD1CF9">
        <w:t xml:space="preserve"> to build broader public and politic support across the country</w:t>
      </w:r>
      <w:r w:rsidR="007A2308">
        <w:t>?</w:t>
      </w:r>
      <w:r w:rsidR="007E693D">
        <w:t xml:space="preserve"> Should we have </w:t>
      </w:r>
      <w:r w:rsidR="00CD1CF9">
        <w:t xml:space="preserve">worked harder to engage our </w:t>
      </w:r>
      <w:r w:rsidR="007E693D">
        <w:t>Russian human rights gr</w:t>
      </w:r>
      <w:r w:rsidR="00CD1CF9">
        <w:t xml:space="preserve">antees in </w:t>
      </w:r>
      <w:r w:rsidR="007E693D">
        <w:t>domestic violence</w:t>
      </w:r>
      <w:r w:rsidR="00F92FCF">
        <w:t xml:space="preserve"> instead of giving up on their involvement following a few unsuccessful conversations with them</w:t>
      </w:r>
      <w:r w:rsidR="007E693D">
        <w:t xml:space="preserve">? </w:t>
      </w:r>
      <w:r w:rsidR="009370F3">
        <w:t xml:space="preserve">Chris Stone asked </w:t>
      </w:r>
      <w:r>
        <w:t xml:space="preserve">whether </w:t>
      </w:r>
      <w:r w:rsidR="009370F3">
        <w:t xml:space="preserve">more could have been achieved if the program had concentrated in two or three countries with </w:t>
      </w:r>
      <w:r w:rsidR="00CD1CF9">
        <w:t>greater investment in these countries</w:t>
      </w:r>
      <w:r w:rsidR="009370F3">
        <w:t>?</w:t>
      </w:r>
      <w:r w:rsidR="00F92FCF">
        <w:t xml:space="preserve"> He challenged the usefulness of investing in</w:t>
      </w:r>
      <w:r w:rsidR="00CD1CF9">
        <w:t xml:space="preserve"> only</w:t>
      </w:r>
      <w:r w:rsidR="00F92FCF">
        <w:t xml:space="preserve"> one group in a country, and he was wondering whether a narrower country focus would have allowed for more in-depth relationship-building with the grantees.</w:t>
      </w:r>
    </w:p>
    <w:p w:rsidR="00EC2877" w:rsidRDefault="00EC2877" w:rsidP="00DE333C">
      <w:pPr>
        <w:jc w:val="both"/>
      </w:pPr>
      <w:r>
        <w:t xml:space="preserve">Emily Martinez and Herta Toth explained that at the time the strategy was drafted, the </w:t>
      </w:r>
      <w:r w:rsidR="001E62F5">
        <w:t xml:space="preserve">general approach of the </w:t>
      </w:r>
      <w:r>
        <w:t xml:space="preserve">program </w:t>
      </w:r>
      <w:r w:rsidR="00CD1CF9">
        <w:t xml:space="preserve">had </w:t>
      </w:r>
      <w:r w:rsidR="001E62F5">
        <w:t xml:space="preserve">been to </w:t>
      </w:r>
      <w:r w:rsidR="0019718D">
        <w:t>work in</w:t>
      </w:r>
      <w:r>
        <w:t xml:space="preserve"> as many countries </w:t>
      </w:r>
      <w:r w:rsidR="001E62F5">
        <w:t xml:space="preserve">in the region </w:t>
      </w:r>
      <w:r>
        <w:t xml:space="preserve">as </w:t>
      </w:r>
      <w:r w:rsidR="001E62F5">
        <w:t xml:space="preserve">feasible, in this case only excluding </w:t>
      </w:r>
      <w:r>
        <w:t xml:space="preserve"> </w:t>
      </w:r>
      <w:r w:rsidR="001E62F5">
        <w:t>those</w:t>
      </w:r>
      <w:r w:rsidR="0086683B">
        <w:t xml:space="preserve"> countries</w:t>
      </w:r>
      <w:r w:rsidR="00F15C23">
        <w:t xml:space="preserve"> </w:t>
      </w:r>
      <w:r w:rsidR="0086683B">
        <w:t>where there was not</w:t>
      </w:r>
      <w:r w:rsidR="000E24AF">
        <w:t xml:space="preserve"> a strong women’s rights </w:t>
      </w:r>
      <w:r w:rsidR="0086683B">
        <w:t>organization</w:t>
      </w:r>
      <w:r w:rsidR="001E62F5">
        <w:t xml:space="preserve"> that could be supported</w:t>
      </w:r>
      <w:r w:rsidR="0086683B">
        <w:t xml:space="preserve"> to</w:t>
      </w:r>
      <w:r w:rsidR="001E62F5">
        <w:t xml:space="preserve"> develop the capacity to</w:t>
      </w:r>
      <w:r w:rsidR="0086683B">
        <w:t xml:space="preserve"> undertake legal advocacy </w:t>
      </w:r>
      <w:r w:rsidR="001E62F5">
        <w:t>or</w:t>
      </w:r>
      <w:r w:rsidR="0086683B">
        <w:t xml:space="preserve"> </w:t>
      </w:r>
      <w:r w:rsidR="000E24AF">
        <w:t>where t</w:t>
      </w:r>
      <w:r w:rsidR="00F15C23">
        <w:t xml:space="preserve">here was </w:t>
      </w:r>
      <w:r w:rsidR="0086683B">
        <w:t xml:space="preserve">significant investment from other donors. </w:t>
      </w:r>
      <w:r w:rsidR="006C4E2C">
        <w:t>In most countries</w:t>
      </w:r>
      <w:r w:rsidR="00494623">
        <w:t xml:space="preserve"> the women</w:t>
      </w:r>
      <w:r w:rsidR="007E693D">
        <w:t>’s rights groups that we funded</w:t>
      </w:r>
      <w:r w:rsidR="00494623">
        <w:t xml:space="preserve"> were able to achieve change</w:t>
      </w:r>
      <w:r>
        <w:t>, and even in Russia</w:t>
      </w:r>
      <w:r w:rsidR="001E62F5">
        <w:t xml:space="preserve">, </w:t>
      </w:r>
      <w:r w:rsidR="006C4E2C">
        <w:t xml:space="preserve">where progress was limited, the program contributed to building </w:t>
      </w:r>
      <w:r w:rsidR="001E62F5">
        <w:t xml:space="preserve">the skills </w:t>
      </w:r>
      <w:r w:rsidR="0019718D">
        <w:t>of activists, and</w:t>
      </w:r>
      <w:r w:rsidR="006C4E2C">
        <w:t xml:space="preserve"> </w:t>
      </w:r>
      <w:r w:rsidR="00A86C1D">
        <w:t>for the first time</w:t>
      </w:r>
      <w:r w:rsidR="001B777A">
        <w:t>,</w:t>
      </w:r>
      <w:r w:rsidR="00A86C1D">
        <w:t xml:space="preserve"> </w:t>
      </w:r>
      <w:r w:rsidR="006C4E2C">
        <w:t xml:space="preserve">to the </w:t>
      </w:r>
      <w:r w:rsidR="00A86C1D">
        <w:t>development</w:t>
      </w:r>
      <w:r w:rsidR="006C4E2C">
        <w:t xml:space="preserve"> of a draft law on domestic violence.</w:t>
      </w:r>
      <w:r w:rsidR="00F14514">
        <w:t xml:space="preserve"> At the same time,</w:t>
      </w:r>
      <w:r w:rsidR="001B777A">
        <w:t xml:space="preserve"> in hindsight,</w:t>
      </w:r>
      <w:r w:rsidR="00F14514">
        <w:t xml:space="preserve"> </w:t>
      </w:r>
      <w:r w:rsidR="00A86C1D">
        <w:t>it was</w:t>
      </w:r>
      <w:r w:rsidR="00F14514">
        <w:t xml:space="preserve"> agreed that working </w:t>
      </w:r>
      <w:r w:rsidR="00A86C1D">
        <w:t>in fewer</w:t>
      </w:r>
      <w:r w:rsidR="00F14514">
        <w:t xml:space="preserve"> countries </w:t>
      </w:r>
      <w:r w:rsidR="00A86C1D">
        <w:t>c</w:t>
      </w:r>
      <w:r w:rsidR="00F14514">
        <w:t xml:space="preserve">ould have allowed for more </w:t>
      </w:r>
      <w:r w:rsidR="00A86C1D">
        <w:t xml:space="preserve">significant operational and resource support </w:t>
      </w:r>
      <w:r w:rsidR="0019718D">
        <w:t>to</w:t>
      </w:r>
      <w:r w:rsidR="00F14514">
        <w:t xml:space="preserve"> grantees </w:t>
      </w:r>
      <w:r w:rsidR="001B777A">
        <w:t xml:space="preserve">and </w:t>
      </w:r>
      <w:r w:rsidR="00F14514">
        <w:t xml:space="preserve">potentially more </w:t>
      </w:r>
      <w:r w:rsidR="00A02552">
        <w:t>impact in the selected countries</w:t>
      </w:r>
      <w:r w:rsidR="00F14514">
        <w:t xml:space="preserve">. </w:t>
      </w:r>
      <w:r w:rsidR="00A02552">
        <w:t>Nevertheless, in light of the progress achieved in the majority of countries HRI invested in, t</w:t>
      </w:r>
      <w:r w:rsidR="00F14514">
        <w:t>he discussion did not</w:t>
      </w:r>
      <w:r w:rsidR="001B777A">
        <w:t xml:space="preserve"> reach a final </w:t>
      </w:r>
      <w:r w:rsidR="00F14514">
        <w:t xml:space="preserve">conclusion as to whether or not a narrower country focus would have </w:t>
      </w:r>
      <w:r w:rsidR="0019718D">
        <w:t>been preferable</w:t>
      </w:r>
      <w:r w:rsidR="001B777A">
        <w:t>.</w:t>
      </w:r>
      <w:r w:rsidR="00F14514">
        <w:t xml:space="preserve"> </w:t>
      </w:r>
      <w:r w:rsidR="0019718D">
        <w:t xml:space="preserve">Nevertheless it was acknowledged that deeper questioning the approach of working in </w:t>
      </w:r>
      <w:r w:rsidR="0019718D">
        <w:lastRenderedPageBreak/>
        <w:t>such a large number of countries would have been useful during the planning and implementation of the strategy.</w:t>
      </w:r>
    </w:p>
    <w:p w:rsidR="00D64C9A" w:rsidRDefault="001B777A" w:rsidP="00DE333C">
      <w:pPr>
        <w:jc w:val="both"/>
      </w:pPr>
      <w:r>
        <w:t>Additionally, it was agreed</w:t>
      </w:r>
      <w:r w:rsidR="00E73522">
        <w:t xml:space="preserve"> that i</w:t>
      </w:r>
      <w:r w:rsidR="00494623">
        <w:t xml:space="preserve">n countries where we </w:t>
      </w:r>
      <w:r w:rsidR="00EC2877">
        <w:t xml:space="preserve">experienced </w:t>
      </w:r>
      <w:r>
        <w:t>serious</w:t>
      </w:r>
      <w:r w:rsidR="00EC2877">
        <w:t xml:space="preserve"> </w:t>
      </w:r>
      <w:r w:rsidR="00494623">
        <w:t>backlash such as in Russia</w:t>
      </w:r>
      <w:r w:rsidR="00F14681">
        <w:t>, we</w:t>
      </w:r>
      <w:r w:rsidR="007F0225">
        <w:t xml:space="preserve"> should have </w:t>
      </w:r>
      <w:r w:rsidR="00494623">
        <w:t>applied a</w:t>
      </w:r>
      <w:r w:rsidR="00DE333C">
        <w:t xml:space="preserve">dditional strategies. </w:t>
      </w:r>
      <w:r>
        <w:t>An</w:t>
      </w:r>
      <w:r w:rsidR="00DE333C">
        <w:t xml:space="preserve"> </w:t>
      </w:r>
      <w:r w:rsidR="00494623">
        <w:t>example</w:t>
      </w:r>
      <w:r>
        <w:t xml:space="preserve"> of what could have been done would have been to involve</w:t>
      </w:r>
      <w:r w:rsidR="00494623">
        <w:t xml:space="preserve"> the </w:t>
      </w:r>
      <w:r w:rsidR="00DE333C">
        <w:t xml:space="preserve">generally stronger </w:t>
      </w:r>
      <w:r w:rsidR="00494623">
        <w:t>mainstream human rights movement in women’s rights work. Although our strategy envisioned this</w:t>
      </w:r>
      <w:r w:rsidR="00637519">
        <w:t xml:space="preserve"> and we started conversations with several mainstream human rights groups about whether and how they could engage </w:t>
      </w:r>
      <w:r w:rsidR="006C4E2C">
        <w:t>in promoting women’s right</w:t>
      </w:r>
      <w:r>
        <w:t>s</w:t>
      </w:r>
      <w:r w:rsidR="00494623">
        <w:t>, once we experienced</w:t>
      </w:r>
      <w:r w:rsidR="00637519">
        <w:t xml:space="preserve"> resistance</w:t>
      </w:r>
      <w:r w:rsidR="00494623">
        <w:t xml:space="preserve"> </w:t>
      </w:r>
      <w:r w:rsidR="006C4E2C">
        <w:t xml:space="preserve">in </w:t>
      </w:r>
      <w:r w:rsidR="00DE333C">
        <w:t>conversations with</w:t>
      </w:r>
      <w:r w:rsidR="00494623">
        <w:t xml:space="preserve"> human rights groups, we </w:t>
      </w:r>
      <w:r w:rsidR="006C4E2C">
        <w:t>did not pursue</w:t>
      </w:r>
      <w:r w:rsidR="00494623">
        <w:t xml:space="preserve"> this </w:t>
      </w:r>
      <w:r w:rsidR="00DE333C">
        <w:t>further</w:t>
      </w:r>
      <w:r w:rsidR="006C4E2C">
        <w:t>. The discussion</w:t>
      </w:r>
      <w:r w:rsidR="00494623">
        <w:t xml:space="preserve"> concluded that donors who fu</w:t>
      </w:r>
      <w:r w:rsidR="006C4E2C">
        <w:t>nd both movements, are</w:t>
      </w:r>
      <w:r w:rsidR="00494623">
        <w:t xml:space="preserve"> in a good position to bring together actors and to facilitate </w:t>
      </w:r>
      <w:r>
        <w:t>a</w:t>
      </w:r>
      <w:r w:rsidR="00494623">
        <w:t xml:space="preserve"> dialogue</w:t>
      </w:r>
      <w:r w:rsidR="007E693D">
        <w:t xml:space="preserve">, </w:t>
      </w:r>
      <w:r w:rsidR="00E1347F">
        <w:t xml:space="preserve">and that this can be done in creative and sensitive ways, without </w:t>
      </w:r>
      <w:r>
        <w:t>being entirely donor driven</w:t>
      </w:r>
      <w:r w:rsidR="00494623">
        <w:t>.</w:t>
      </w:r>
    </w:p>
    <w:p w:rsidR="00905BE4" w:rsidRPr="00FA2E1E" w:rsidRDefault="00FA2E1E" w:rsidP="00DE333C">
      <w:pPr>
        <w:jc w:val="both"/>
        <w:rPr>
          <w:i/>
        </w:rPr>
      </w:pPr>
      <w:r w:rsidRPr="00FA2E1E">
        <w:rPr>
          <w:i/>
        </w:rPr>
        <w:t>Next Steps and Follow-up</w:t>
      </w:r>
    </w:p>
    <w:p w:rsidR="00FA2E1E" w:rsidRDefault="00FA2E1E" w:rsidP="00DE333C">
      <w:pPr>
        <w:jc w:val="both"/>
      </w:pPr>
      <w:r>
        <w:t xml:space="preserve">Due to the </w:t>
      </w:r>
      <w:r w:rsidR="00693F6A">
        <w:t>development</w:t>
      </w:r>
      <w:r w:rsidR="001B777A">
        <w:t xml:space="preserve"> </w:t>
      </w:r>
      <w:r>
        <w:t>of HRI</w:t>
      </w:r>
      <w:r w:rsidR="001B777A">
        <w:t xml:space="preserve"> into a global grant-making program</w:t>
      </w:r>
      <w:r w:rsidR="00693F6A">
        <w:t xml:space="preserve"> with a new strategy, including a new strategy for our</w:t>
      </w:r>
      <w:r>
        <w:t xml:space="preserve"> women’s rights </w:t>
      </w:r>
      <w:r w:rsidR="00731CE9">
        <w:t xml:space="preserve">work, </w:t>
      </w:r>
      <w:r w:rsidR="0019718D">
        <w:t>this particular</w:t>
      </w:r>
      <w:r w:rsidR="00693F6A">
        <w:t xml:space="preserve"> portfolio was closed in</w:t>
      </w:r>
      <w:r>
        <w:t xml:space="preserve"> 2014</w:t>
      </w:r>
      <w:r w:rsidR="00693F6A">
        <w:t xml:space="preserve"> and we will not be continuing work in this area</w:t>
      </w:r>
      <w:r>
        <w:t>.</w:t>
      </w:r>
      <w:r w:rsidR="00D30D37">
        <w:t xml:space="preserve"> Therefore the o</w:t>
      </w:r>
      <w:r w:rsidR="004D6B89">
        <w:t>utcomes of the portfolio review</w:t>
      </w:r>
      <w:r w:rsidR="00D30D37">
        <w:t xml:space="preserve"> will not be us</w:t>
      </w:r>
      <w:r w:rsidR="00981002">
        <w:t xml:space="preserve">ed </w:t>
      </w:r>
      <w:r w:rsidR="003F57EA">
        <w:t>to adjust an ongoing strategy</w:t>
      </w:r>
      <w:r w:rsidR="00693F6A">
        <w:t xml:space="preserve"> in area of implementation of domestic violence </w:t>
      </w:r>
      <w:r w:rsidR="0019718D">
        <w:t>laws</w:t>
      </w:r>
      <w:r w:rsidR="00A02552">
        <w:t>. H</w:t>
      </w:r>
      <w:r w:rsidR="0019718D">
        <w:t>owever, the</w:t>
      </w:r>
      <w:r w:rsidR="00D30D37">
        <w:t xml:space="preserve"> </w:t>
      </w:r>
      <w:r w:rsidR="00693F6A">
        <w:t xml:space="preserve">important </w:t>
      </w:r>
      <w:r w:rsidR="00D30D37">
        <w:t>lessons learn</w:t>
      </w:r>
      <w:r w:rsidR="00693F6A">
        <w:t>ed from our work on this portfolio</w:t>
      </w:r>
      <w:r w:rsidR="00D30D37">
        <w:t xml:space="preserve"> will </w:t>
      </w:r>
      <w:r w:rsidR="0019718D">
        <w:t>inform the</w:t>
      </w:r>
      <w:r w:rsidR="00693F6A">
        <w:t xml:space="preserve"> development of future HRI work in the area of </w:t>
      </w:r>
      <w:r w:rsidR="00D30D37">
        <w:t xml:space="preserve">women’s rights </w:t>
      </w:r>
      <w:r w:rsidR="00693F6A">
        <w:t>as well as other rights areas. Going forward</w:t>
      </w:r>
      <w:r w:rsidR="00D30D37">
        <w:t xml:space="preserve"> HRI</w:t>
      </w:r>
      <w:r w:rsidR="00731CE9">
        <w:t xml:space="preserve"> is going to</w:t>
      </w:r>
      <w:r w:rsidR="00693F6A">
        <w:t xml:space="preserve"> be</w:t>
      </w:r>
      <w:r w:rsidR="00731CE9">
        <w:t xml:space="preserve"> focus</w:t>
      </w:r>
      <w:r w:rsidR="00693F6A">
        <w:t>ing</w:t>
      </w:r>
      <w:r w:rsidR="00731CE9">
        <w:t xml:space="preserve"> on violence against women who face multiple forms of discrimination</w:t>
      </w:r>
      <w:r w:rsidR="00D30D37">
        <w:t xml:space="preserve">. </w:t>
      </w:r>
      <w:r w:rsidR="00981002">
        <w:t>T</w:t>
      </w:r>
      <w:r w:rsidR="00FC6832">
        <w:t xml:space="preserve">he following </w:t>
      </w:r>
      <w:r w:rsidR="00693F6A">
        <w:t xml:space="preserve">specific </w:t>
      </w:r>
      <w:r w:rsidR="00FC6832">
        <w:t>outcomes</w:t>
      </w:r>
      <w:r w:rsidR="00E73522">
        <w:t xml:space="preserve"> are</w:t>
      </w:r>
      <w:r w:rsidR="00693F6A">
        <w:t xml:space="preserve"> already being</w:t>
      </w:r>
      <w:r w:rsidR="00513EEE">
        <w:t xml:space="preserve"> incorporated into t</w:t>
      </w:r>
      <w:r w:rsidR="00981002">
        <w:t xml:space="preserve">he </w:t>
      </w:r>
      <w:r w:rsidR="00693F6A">
        <w:t xml:space="preserve">development of HRI’s </w:t>
      </w:r>
      <w:r w:rsidR="00981002">
        <w:t xml:space="preserve">new women’s </w:t>
      </w:r>
      <w:r w:rsidR="00693F6A">
        <w:t xml:space="preserve">rights </w:t>
      </w:r>
      <w:r w:rsidR="00981002">
        <w:t>strategy</w:t>
      </w:r>
      <w:r w:rsidR="00E73522">
        <w:t xml:space="preserve">, as </w:t>
      </w:r>
      <w:r w:rsidR="00513EEE">
        <w:t xml:space="preserve">discussed with </w:t>
      </w:r>
      <w:r w:rsidR="00693F6A">
        <w:t>our</w:t>
      </w:r>
      <w:r w:rsidR="00513EEE">
        <w:t xml:space="preserve"> advisory board in March:</w:t>
      </w:r>
    </w:p>
    <w:p w:rsidR="000422CD" w:rsidRDefault="003002D4" w:rsidP="003002D4">
      <w:pPr>
        <w:jc w:val="both"/>
      </w:pPr>
      <w:r>
        <w:t xml:space="preserve">A. </w:t>
      </w:r>
      <w:r w:rsidR="009F11BF">
        <w:t>E</w:t>
      </w:r>
      <w:r w:rsidR="000422CD">
        <w:t xml:space="preserve">ven a </w:t>
      </w:r>
      <w:r w:rsidR="00693F6A">
        <w:t xml:space="preserve">rights focused </w:t>
      </w:r>
      <w:r w:rsidR="000422CD">
        <w:t xml:space="preserve">portfolio </w:t>
      </w:r>
      <w:r w:rsidR="00693F6A">
        <w:t>with a strong emphasis on</w:t>
      </w:r>
      <w:r w:rsidR="00E73522">
        <w:t xml:space="preserve"> promoting </w:t>
      </w:r>
      <w:r w:rsidR="00693F6A">
        <w:t xml:space="preserve">law and </w:t>
      </w:r>
      <w:r w:rsidR="00E73522">
        <w:t xml:space="preserve">policy change </w:t>
      </w:r>
      <w:r w:rsidR="00693F6A">
        <w:t xml:space="preserve">or implementation should </w:t>
      </w:r>
      <w:r w:rsidR="00E73522">
        <w:t xml:space="preserve"> support</w:t>
      </w:r>
      <w:r w:rsidR="00693F6A">
        <w:t xml:space="preserve"> approaches to </w:t>
      </w:r>
      <w:r w:rsidR="00E73522">
        <w:t>advocacy</w:t>
      </w:r>
      <w:r w:rsidR="00693F6A">
        <w:t xml:space="preserve"> that incorporate </w:t>
      </w:r>
      <w:r w:rsidR="00E73522">
        <w:t>movement-building</w:t>
      </w:r>
      <w:r w:rsidR="00693F6A">
        <w:t xml:space="preserve"> strategies</w:t>
      </w:r>
      <w:r w:rsidR="00E73522">
        <w:t xml:space="preserve">. </w:t>
      </w:r>
      <w:r w:rsidR="00693F6A">
        <w:t xml:space="preserve">Supporting stronger rights movements </w:t>
      </w:r>
      <w:r w:rsidR="00E73522">
        <w:t xml:space="preserve"> can be challenging</w:t>
      </w:r>
      <w:r w:rsidR="00693F6A">
        <w:t xml:space="preserve"> on issues or </w:t>
      </w:r>
      <w:r w:rsidR="00E73522">
        <w:t xml:space="preserve"> in places  where</w:t>
      </w:r>
      <w:r>
        <w:t xml:space="preserve"> no mass movements have </w:t>
      </w:r>
      <w:r w:rsidR="00865E74">
        <w:t xml:space="preserve">yet </w:t>
      </w:r>
      <w:r>
        <w:t>emerged and</w:t>
      </w:r>
      <w:r w:rsidR="00E73522">
        <w:t xml:space="preserve"> </w:t>
      </w:r>
      <w:r w:rsidR="00865E74">
        <w:t xml:space="preserve">small </w:t>
      </w:r>
      <w:r w:rsidR="00E73522">
        <w:t xml:space="preserve">rights groups </w:t>
      </w:r>
      <w:r>
        <w:t>are essentially</w:t>
      </w:r>
      <w:r w:rsidR="00865E74">
        <w:t xml:space="preserve"> the only ones raising rights concerns</w:t>
      </w:r>
      <w:r>
        <w:t>, nevertheless even in such contexts there are</w:t>
      </w:r>
      <w:r w:rsidR="00D44C68">
        <w:t xml:space="preserve"> </w:t>
      </w:r>
      <w:r>
        <w:t>opportunities</w:t>
      </w:r>
      <w:r w:rsidR="00865E74">
        <w:t xml:space="preserve"> to use advocacy to build leadership and engage a broader cross-section of society</w:t>
      </w:r>
      <w:r>
        <w:t xml:space="preserve">. For instance, </w:t>
      </w:r>
      <w:r w:rsidR="00865E74">
        <w:t xml:space="preserve">it became clear with the portfolio reviewed that </w:t>
      </w:r>
      <w:r w:rsidR="0019718D">
        <w:t>there</w:t>
      </w:r>
      <w:r w:rsidR="00865E74">
        <w:t xml:space="preserve"> was a missed opportunity to </w:t>
      </w:r>
      <w:r w:rsidR="0019718D">
        <w:t>bring survivors</w:t>
      </w:r>
      <w:r w:rsidR="009F11BF">
        <w:t xml:space="preserve"> of violence </w:t>
      </w:r>
      <w:r w:rsidR="000422CD">
        <w:t xml:space="preserve">into </w:t>
      </w:r>
      <w:r w:rsidR="00865E74">
        <w:t xml:space="preserve">more visible leaders roles in the </w:t>
      </w:r>
      <w:r w:rsidR="000422CD">
        <w:t xml:space="preserve"> </w:t>
      </w:r>
      <w:r w:rsidR="009F11BF">
        <w:t xml:space="preserve">women’s </w:t>
      </w:r>
      <w:r w:rsidR="000422CD">
        <w:t>movement</w:t>
      </w:r>
      <w:r w:rsidR="00865E74">
        <w:t>, and that their involvement could have inspired others to become active</w:t>
      </w:r>
      <w:r w:rsidR="009F11BF">
        <w:t xml:space="preserve"> </w:t>
      </w:r>
      <w:r w:rsidR="00865E74">
        <w:t xml:space="preserve">and even impacted public awareness and attitudes. In the future, </w:t>
      </w:r>
      <w:r>
        <w:t xml:space="preserve">HRI will </w:t>
      </w:r>
      <w:r w:rsidR="00865E74">
        <w:t xml:space="preserve">be more conscious to </w:t>
      </w:r>
      <w:r>
        <w:t xml:space="preserve">integrate </w:t>
      </w:r>
      <w:r w:rsidR="00865E74">
        <w:t xml:space="preserve">strong </w:t>
      </w:r>
      <w:r>
        <w:t>movement-building component</w:t>
      </w:r>
      <w:r w:rsidR="00865E74">
        <w:t>s</w:t>
      </w:r>
      <w:r>
        <w:t xml:space="preserve"> into its women’s rights work from the outset.</w:t>
      </w:r>
    </w:p>
    <w:p w:rsidR="003F57EA" w:rsidRDefault="003002D4" w:rsidP="003002D4">
      <w:pPr>
        <w:jc w:val="both"/>
      </w:pPr>
      <w:r>
        <w:t xml:space="preserve">B. </w:t>
      </w:r>
      <w:r w:rsidR="00F1265F">
        <w:t>Given that</w:t>
      </w:r>
      <w:r w:rsidR="009F11BF">
        <w:t xml:space="preserve"> HRI is particularly well-positioned to encourage cross-movement work – whether between the mainstream human rights movement and the </w:t>
      </w:r>
      <w:r w:rsidR="0019718D">
        <w:t>women’s movement</w:t>
      </w:r>
      <w:r w:rsidR="009F11BF">
        <w:t xml:space="preserve"> or among various equality movements – </w:t>
      </w:r>
      <w:r w:rsidR="00F1265F">
        <w:t xml:space="preserve">we will focus on </w:t>
      </w:r>
      <w:r w:rsidR="009F11BF">
        <w:t>bring</w:t>
      </w:r>
      <w:r w:rsidR="00F1265F">
        <w:t>ing</w:t>
      </w:r>
      <w:r w:rsidR="009F11BF">
        <w:t xml:space="preserve"> movements together in creative and sensitive ways to address human rights violations where their cooperation is </w:t>
      </w:r>
      <w:r w:rsidR="00F1265F">
        <w:t>important</w:t>
      </w:r>
      <w:r w:rsidR="009F11BF">
        <w:t xml:space="preserve"> to making </w:t>
      </w:r>
      <w:r w:rsidR="00F1265F">
        <w:t xml:space="preserve">and sustaining </w:t>
      </w:r>
      <w:r w:rsidR="009F11BF">
        <w:t xml:space="preserve">progress. Violence against women who face multiple forms of discrimination is </w:t>
      </w:r>
      <w:r w:rsidR="008602F9">
        <w:t>a field that</w:t>
      </w:r>
      <w:r w:rsidR="00F1265F">
        <w:t xml:space="preserve"> inherently</w:t>
      </w:r>
      <w:r w:rsidR="008602F9">
        <w:t xml:space="preserve"> requires joint work by the women’s movement and other equality movements</w:t>
      </w:r>
      <w:r w:rsidR="00981002">
        <w:t xml:space="preserve">, thus </w:t>
      </w:r>
      <w:r w:rsidR="00F1265F">
        <w:t xml:space="preserve">in designing and </w:t>
      </w:r>
      <w:r w:rsidR="00F1265F">
        <w:lastRenderedPageBreak/>
        <w:t xml:space="preserve">implementing our work in this area </w:t>
      </w:r>
      <w:r w:rsidR="00981002">
        <w:t xml:space="preserve">HRI will work </w:t>
      </w:r>
      <w:r w:rsidR="00F1265F">
        <w:t xml:space="preserve">closely </w:t>
      </w:r>
      <w:r w:rsidR="00981002">
        <w:t>with rights groups from</w:t>
      </w:r>
      <w:r w:rsidR="00F1265F">
        <w:t xml:space="preserve"> different</w:t>
      </w:r>
      <w:r w:rsidR="00981002">
        <w:t xml:space="preserve"> equality movements</w:t>
      </w:r>
      <w:r w:rsidR="008602F9">
        <w:t xml:space="preserve">  to strengthen  collaboration</w:t>
      </w:r>
      <w:r w:rsidR="00F1265F">
        <w:t xml:space="preserve"> and a sense of shared ownership.</w:t>
      </w:r>
    </w:p>
    <w:p w:rsidR="008602F9" w:rsidRDefault="003002D4" w:rsidP="003002D4">
      <w:pPr>
        <w:jc w:val="both"/>
      </w:pPr>
      <w:r>
        <w:t xml:space="preserve">C. </w:t>
      </w:r>
      <w:r w:rsidR="00AA2A11">
        <w:t xml:space="preserve">Improving the implementation of domestic violence laws by supporting women’s rights groups and their allies is </w:t>
      </w:r>
      <w:r w:rsidR="0019718D">
        <w:t>possible;</w:t>
      </w:r>
      <w:r w:rsidR="00AA2A11">
        <w:t xml:space="preserve"> however</w:t>
      </w:r>
      <w:r w:rsidR="00F1265F">
        <w:t>, meaningful impact requires</w:t>
      </w:r>
      <w:r w:rsidR="00AA2A11">
        <w:t xml:space="preserve"> considerable time</w:t>
      </w:r>
      <w:r w:rsidR="00F1265F">
        <w:t xml:space="preserve"> and resources</w:t>
      </w:r>
      <w:r w:rsidR="00AA2A11">
        <w:t xml:space="preserve">. </w:t>
      </w:r>
      <w:r w:rsidR="008602F9">
        <w:t xml:space="preserve">Supporting groups who work with survivors of violence and with </w:t>
      </w:r>
      <w:r w:rsidR="00F1265F">
        <w:t>women who are members of some of the</w:t>
      </w:r>
      <w:r w:rsidR="008602F9">
        <w:t xml:space="preserve"> most marginalized groups </w:t>
      </w:r>
      <w:r w:rsidR="00F1265F">
        <w:t>will be</w:t>
      </w:r>
      <w:r w:rsidR="008602F9">
        <w:t xml:space="preserve"> very challenging and require operational involvement from staff as well as flexibility in adjusting </w:t>
      </w:r>
      <w:bookmarkStart w:id="0" w:name="_GoBack"/>
      <w:bookmarkEnd w:id="0"/>
      <w:r w:rsidR="008602F9">
        <w:t>methodologies</w:t>
      </w:r>
      <w:r w:rsidR="00F1265F">
        <w:t xml:space="preserve"> and</w:t>
      </w:r>
      <w:r w:rsidR="008602F9">
        <w:t xml:space="preserve"> strategies. </w:t>
      </w:r>
      <w:r w:rsidR="00F1265F">
        <w:t xml:space="preserve">Given the complexity and challenges in supporting work on behalf of women who face multiple forms of </w:t>
      </w:r>
      <w:r w:rsidR="0019718D">
        <w:t>discrimination,</w:t>
      </w:r>
      <w:r w:rsidR="00F1265F">
        <w:t xml:space="preserve"> while maintaining a commitment to </w:t>
      </w:r>
      <w:r w:rsidR="0019718D">
        <w:t>a global strategy, we will also</w:t>
      </w:r>
      <w:r w:rsidR="008602F9">
        <w:t xml:space="preserve"> limit </w:t>
      </w:r>
      <w:r w:rsidR="0019718D">
        <w:t xml:space="preserve">our work to a small </w:t>
      </w:r>
      <w:r w:rsidR="008602F9">
        <w:t xml:space="preserve">number of </w:t>
      </w:r>
      <w:r w:rsidR="00AA2A11">
        <w:t>countries</w:t>
      </w:r>
      <w:r w:rsidR="005D5EB1">
        <w:t xml:space="preserve"> in </w:t>
      </w:r>
      <w:r w:rsidR="0019718D">
        <w:t xml:space="preserve">each region to ensure we are not stretched too thin and can strongly engage in the </w:t>
      </w:r>
      <w:r w:rsidR="00D44C68">
        <w:t>selected locations</w:t>
      </w:r>
      <w:r w:rsidR="005D5EB1">
        <w:t>.</w:t>
      </w:r>
      <w:r w:rsidR="00AA2A11">
        <w:t xml:space="preserve"> </w:t>
      </w:r>
    </w:p>
    <w:p w:rsidR="00E85EC8" w:rsidRPr="00E85EC8" w:rsidRDefault="00E85EC8" w:rsidP="00DE333C">
      <w:pPr>
        <w:jc w:val="both"/>
        <w:rPr>
          <w:i/>
        </w:rPr>
      </w:pPr>
      <w:r w:rsidRPr="00E85EC8">
        <w:rPr>
          <w:i/>
        </w:rPr>
        <w:t>Summary statement</w:t>
      </w:r>
    </w:p>
    <w:p w:rsidR="00E85EC8" w:rsidRDefault="00010653" w:rsidP="00DE333C">
      <w:pPr>
        <w:jc w:val="both"/>
      </w:pPr>
      <w:r>
        <w:t xml:space="preserve">The portfolio review reinforced the </w:t>
      </w:r>
      <w:r w:rsidR="00132790">
        <w:t xml:space="preserve">strategic </w:t>
      </w:r>
      <w:r>
        <w:t>value of supporting women’</w:t>
      </w:r>
      <w:r w:rsidR="00132790">
        <w:t xml:space="preserve">s rights groups to strengthen the implementation of domestic violence laws and policies even if this particular portfolio is discontinued due to </w:t>
      </w:r>
      <w:r w:rsidR="0019718D">
        <w:t>HRI’s new global strategy</w:t>
      </w:r>
      <w:r w:rsidR="00132790">
        <w:t xml:space="preserve">. </w:t>
      </w:r>
      <w:r w:rsidR="00D44C68">
        <w:t>Our</w:t>
      </w:r>
      <w:r w:rsidR="0019718D">
        <w:t xml:space="preserve"> future work</w:t>
      </w:r>
      <w:r w:rsidR="00D44C68">
        <w:t xml:space="preserve"> will </w:t>
      </w:r>
      <w:r w:rsidR="00132790">
        <w:t>focus on violence against women who face multiple forms of discrimination</w:t>
      </w:r>
      <w:r w:rsidR="00D44C68">
        <w:t>.</w:t>
      </w:r>
      <w:r w:rsidR="00132790">
        <w:t xml:space="preserve"> </w:t>
      </w:r>
      <w:r w:rsidR="00D44C68">
        <w:t>W</w:t>
      </w:r>
      <w:r w:rsidR="0019718D">
        <w:t xml:space="preserve">e </w:t>
      </w:r>
      <w:r w:rsidR="00132790">
        <w:t xml:space="preserve">will </w:t>
      </w:r>
      <w:r w:rsidR="0019718D">
        <w:t>place a strong and consistent</w:t>
      </w:r>
      <w:r w:rsidR="00132790">
        <w:t xml:space="preserve"> emphasis on movement-building and cross-movement col</w:t>
      </w:r>
      <w:r w:rsidR="00E73522">
        <w:t>laboration while maintaining a</w:t>
      </w:r>
      <w:r w:rsidR="00132790">
        <w:t xml:space="preserve"> </w:t>
      </w:r>
      <w:r w:rsidR="0019718D">
        <w:t>commitment</w:t>
      </w:r>
      <w:r w:rsidR="00132790">
        <w:t xml:space="preserve"> </w:t>
      </w:r>
      <w:r w:rsidR="0019718D">
        <w:t>to</w:t>
      </w:r>
      <w:r w:rsidR="00132790">
        <w:t xml:space="preserve"> support projects that achieve </w:t>
      </w:r>
      <w:r w:rsidR="0019718D">
        <w:t xml:space="preserve">law and </w:t>
      </w:r>
      <w:r w:rsidR="00132790">
        <w:t>policy-level change</w:t>
      </w:r>
      <w:r w:rsidR="0019718D">
        <w:t xml:space="preserve"> or more effective implementation of laws in ways that benefit women who face multiple forms of discrimination</w:t>
      </w:r>
      <w:r w:rsidR="00132790">
        <w:t xml:space="preserve">. </w:t>
      </w:r>
    </w:p>
    <w:sectPr w:rsidR="00E85EC8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3D4A" w:rsidRDefault="000B3D4A" w:rsidP="002E6275">
      <w:pPr>
        <w:spacing w:after="0" w:line="240" w:lineRule="auto"/>
      </w:pPr>
      <w:r>
        <w:separator/>
      </w:r>
    </w:p>
  </w:endnote>
  <w:endnote w:type="continuationSeparator" w:id="0">
    <w:p w:rsidR="000B3D4A" w:rsidRDefault="000B3D4A" w:rsidP="002E62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005039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65E74" w:rsidRDefault="00865E7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B78A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65E74" w:rsidRDefault="00865E7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3D4A" w:rsidRDefault="000B3D4A" w:rsidP="002E6275">
      <w:pPr>
        <w:spacing w:after="0" w:line="240" w:lineRule="auto"/>
      </w:pPr>
      <w:r>
        <w:separator/>
      </w:r>
    </w:p>
  </w:footnote>
  <w:footnote w:type="continuationSeparator" w:id="0">
    <w:p w:rsidR="000B3D4A" w:rsidRDefault="000B3D4A" w:rsidP="002E62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C1DF2"/>
    <w:multiLevelType w:val="hybridMultilevel"/>
    <w:tmpl w:val="0AA23E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760C62"/>
    <w:multiLevelType w:val="hybridMultilevel"/>
    <w:tmpl w:val="979CB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DEE"/>
    <w:rsid w:val="00010653"/>
    <w:rsid w:val="000310DC"/>
    <w:rsid w:val="0003419E"/>
    <w:rsid w:val="000422CD"/>
    <w:rsid w:val="000450E4"/>
    <w:rsid w:val="0005570A"/>
    <w:rsid w:val="000619F7"/>
    <w:rsid w:val="000B3D4A"/>
    <w:rsid w:val="000C59DC"/>
    <w:rsid w:val="000E24AF"/>
    <w:rsid w:val="0011015F"/>
    <w:rsid w:val="00132790"/>
    <w:rsid w:val="001403D7"/>
    <w:rsid w:val="00143570"/>
    <w:rsid w:val="0019718D"/>
    <w:rsid w:val="001A3D3E"/>
    <w:rsid w:val="001A71CE"/>
    <w:rsid w:val="001B777A"/>
    <w:rsid w:val="001E62F5"/>
    <w:rsid w:val="00240C67"/>
    <w:rsid w:val="00271A54"/>
    <w:rsid w:val="00271BBF"/>
    <w:rsid w:val="00284FC5"/>
    <w:rsid w:val="002E3EC7"/>
    <w:rsid w:val="002E539D"/>
    <w:rsid w:val="002E6275"/>
    <w:rsid w:val="002E75B8"/>
    <w:rsid w:val="003002D4"/>
    <w:rsid w:val="003B49C4"/>
    <w:rsid w:val="003B7F18"/>
    <w:rsid w:val="003D7673"/>
    <w:rsid w:val="003E4312"/>
    <w:rsid w:val="003F57EA"/>
    <w:rsid w:val="00400A93"/>
    <w:rsid w:val="00411DDD"/>
    <w:rsid w:val="00470EDB"/>
    <w:rsid w:val="00494623"/>
    <w:rsid w:val="004D6B89"/>
    <w:rsid w:val="004E3C33"/>
    <w:rsid w:val="00500039"/>
    <w:rsid w:val="00513EEE"/>
    <w:rsid w:val="0053103A"/>
    <w:rsid w:val="00550415"/>
    <w:rsid w:val="005520D4"/>
    <w:rsid w:val="00565142"/>
    <w:rsid w:val="00586A9D"/>
    <w:rsid w:val="00594D29"/>
    <w:rsid w:val="005A5A86"/>
    <w:rsid w:val="005C7E96"/>
    <w:rsid w:val="005D5EB1"/>
    <w:rsid w:val="00604666"/>
    <w:rsid w:val="00637519"/>
    <w:rsid w:val="006661C2"/>
    <w:rsid w:val="00693F6A"/>
    <w:rsid w:val="006C4E2C"/>
    <w:rsid w:val="006E30F0"/>
    <w:rsid w:val="00703AE0"/>
    <w:rsid w:val="00724E05"/>
    <w:rsid w:val="00731CE9"/>
    <w:rsid w:val="007803FD"/>
    <w:rsid w:val="007A2308"/>
    <w:rsid w:val="007A3A4D"/>
    <w:rsid w:val="007E693D"/>
    <w:rsid w:val="007F0225"/>
    <w:rsid w:val="008103CF"/>
    <w:rsid w:val="008602F9"/>
    <w:rsid w:val="00865E74"/>
    <w:rsid w:val="0086683B"/>
    <w:rsid w:val="008E099E"/>
    <w:rsid w:val="00905BE4"/>
    <w:rsid w:val="00906F42"/>
    <w:rsid w:val="009370F3"/>
    <w:rsid w:val="0096491F"/>
    <w:rsid w:val="00981002"/>
    <w:rsid w:val="009F11BF"/>
    <w:rsid w:val="00A02552"/>
    <w:rsid w:val="00A27777"/>
    <w:rsid w:val="00A72CFC"/>
    <w:rsid w:val="00A81BDF"/>
    <w:rsid w:val="00A86C1D"/>
    <w:rsid w:val="00AA21CB"/>
    <w:rsid w:val="00AA2A11"/>
    <w:rsid w:val="00AF2A28"/>
    <w:rsid w:val="00B06E58"/>
    <w:rsid w:val="00B76874"/>
    <w:rsid w:val="00B86C4C"/>
    <w:rsid w:val="00C22A8C"/>
    <w:rsid w:val="00C77581"/>
    <w:rsid w:val="00C83E25"/>
    <w:rsid w:val="00C94C1D"/>
    <w:rsid w:val="00CA4D68"/>
    <w:rsid w:val="00CA6B15"/>
    <w:rsid w:val="00CD1CF9"/>
    <w:rsid w:val="00D30D37"/>
    <w:rsid w:val="00D44C68"/>
    <w:rsid w:val="00D64C9A"/>
    <w:rsid w:val="00D83D19"/>
    <w:rsid w:val="00DE333C"/>
    <w:rsid w:val="00DF6A67"/>
    <w:rsid w:val="00E1347F"/>
    <w:rsid w:val="00E67BC3"/>
    <w:rsid w:val="00E73522"/>
    <w:rsid w:val="00E745D9"/>
    <w:rsid w:val="00E83365"/>
    <w:rsid w:val="00E85EC8"/>
    <w:rsid w:val="00EB5C3E"/>
    <w:rsid w:val="00EB5DEE"/>
    <w:rsid w:val="00EC2877"/>
    <w:rsid w:val="00EC5509"/>
    <w:rsid w:val="00ED1A82"/>
    <w:rsid w:val="00EE23D2"/>
    <w:rsid w:val="00F061D3"/>
    <w:rsid w:val="00F1265F"/>
    <w:rsid w:val="00F14514"/>
    <w:rsid w:val="00F14681"/>
    <w:rsid w:val="00F15C23"/>
    <w:rsid w:val="00F8633C"/>
    <w:rsid w:val="00F92FCF"/>
    <w:rsid w:val="00FA2E1E"/>
    <w:rsid w:val="00FB78AE"/>
    <w:rsid w:val="00FC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61D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310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10D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10D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10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10D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0D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E62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6275"/>
  </w:style>
  <w:style w:type="paragraph" w:styleId="Footer">
    <w:name w:val="footer"/>
    <w:basedOn w:val="Normal"/>
    <w:link w:val="FooterChar"/>
    <w:uiPriority w:val="99"/>
    <w:unhideWhenUsed/>
    <w:rsid w:val="002E62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62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61D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310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10D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10D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10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10D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0D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E62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6275"/>
  </w:style>
  <w:style w:type="paragraph" w:styleId="Footer">
    <w:name w:val="footer"/>
    <w:basedOn w:val="Normal"/>
    <w:link w:val="FooterChar"/>
    <w:uiPriority w:val="99"/>
    <w:unhideWhenUsed/>
    <w:rsid w:val="002E62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62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947DA1DD-CB2A-403F-841E-78975B77E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1841</Words>
  <Characters>10494</Characters>
  <Application>Microsoft Office Word</Application>
  <DocSecurity>4</DocSecurity>
  <Lines>87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OSI</Company>
  <LinksUpToDate>false</LinksUpToDate>
  <CharactersWithSpaces>12311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Giselle Kasim</dc:creator>
  <cp:lastModifiedBy>Daphne Panayotatos</cp:lastModifiedBy>
  <cp:revision>2</cp:revision>
  <cp:lastPrinted>2015-03-13T19:08:00Z</cp:lastPrinted>
  <dcterms:created xsi:type="dcterms:W3CDTF">2015-04-09T20:00:00Z</dcterms:created>
  <dcterms:modified xsi:type="dcterms:W3CDTF">2015-04-09T20:00:00Z</dcterms:modified>
</cp:coreProperties>
</file>