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3D4" w:rsidRDefault="00A023D4" w:rsidP="00A023D4">
      <w:pPr>
        <w:spacing w:after="0" w:line="240" w:lineRule="auto"/>
        <w:jc w:val="center"/>
        <w:rPr>
          <w:rFonts w:cs="Times New Roman"/>
          <w:b/>
          <w:sz w:val="24"/>
          <w:szCs w:val="24"/>
        </w:rPr>
      </w:pPr>
      <w:bookmarkStart w:id="0" w:name="_GoBack"/>
      <w:bookmarkEnd w:id="0"/>
      <w:r>
        <w:rPr>
          <w:rFonts w:cs="Times New Roman"/>
          <w:b/>
          <w:sz w:val="24"/>
          <w:szCs w:val="24"/>
        </w:rPr>
        <w:t>Fiscal Governance Program Portfolio Review Document—Illicit Flows and Tax Portfolio</w:t>
      </w:r>
    </w:p>
    <w:p w:rsidR="00A023D4" w:rsidRDefault="00A023D4" w:rsidP="00A023D4">
      <w:pPr>
        <w:spacing w:after="0" w:line="240" w:lineRule="auto"/>
        <w:jc w:val="center"/>
        <w:rPr>
          <w:rFonts w:cs="Times New Roman"/>
          <w:sz w:val="24"/>
          <w:szCs w:val="24"/>
        </w:rPr>
      </w:pPr>
      <w:r w:rsidRPr="00A023D4">
        <w:rPr>
          <w:rFonts w:cs="Times New Roman"/>
          <w:sz w:val="24"/>
          <w:szCs w:val="24"/>
        </w:rPr>
        <w:t>Vera Mshana</w:t>
      </w:r>
      <w:r w:rsidR="008B5BF6">
        <w:rPr>
          <w:rFonts w:cs="Times New Roman"/>
          <w:sz w:val="24"/>
          <w:szCs w:val="24"/>
        </w:rPr>
        <w:t xml:space="preserve"> and Julie McCarthy</w:t>
      </w:r>
    </w:p>
    <w:p w:rsidR="00A023D4" w:rsidRPr="00A023D4" w:rsidRDefault="00A023D4" w:rsidP="00A023D4">
      <w:pPr>
        <w:spacing w:after="0" w:line="240" w:lineRule="auto"/>
        <w:jc w:val="center"/>
        <w:rPr>
          <w:rFonts w:cs="Times New Roman"/>
          <w:sz w:val="24"/>
          <w:szCs w:val="24"/>
        </w:rPr>
      </w:pPr>
      <w:r>
        <w:rPr>
          <w:rFonts w:cs="Times New Roman"/>
          <w:sz w:val="24"/>
          <w:szCs w:val="24"/>
        </w:rPr>
        <w:t>10/21/14</w:t>
      </w:r>
    </w:p>
    <w:p w:rsidR="00A023D4" w:rsidRDefault="00A023D4" w:rsidP="009E28EB">
      <w:pPr>
        <w:spacing w:after="0" w:line="240" w:lineRule="auto"/>
        <w:jc w:val="both"/>
        <w:rPr>
          <w:rFonts w:cs="Times New Roman"/>
          <w:b/>
          <w:sz w:val="24"/>
          <w:szCs w:val="24"/>
        </w:rPr>
      </w:pPr>
    </w:p>
    <w:p w:rsidR="00730A99" w:rsidRPr="00282955" w:rsidRDefault="000818BA" w:rsidP="009E28EB">
      <w:pPr>
        <w:spacing w:after="0" w:line="240" w:lineRule="auto"/>
        <w:jc w:val="both"/>
        <w:rPr>
          <w:rFonts w:cs="Times New Roman"/>
          <w:b/>
          <w:sz w:val="24"/>
          <w:szCs w:val="24"/>
        </w:rPr>
      </w:pPr>
      <w:r>
        <w:rPr>
          <w:rFonts w:cs="Times New Roman"/>
          <w:b/>
          <w:sz w:val="24"/>
          <w:szCs w:val="24"/>
        </w:rPr>
        <w:t xml:space="preserve">Introduction </w:t>
      </w:r>
    </w:p>
    <w:p w:rsidR="000818BA" w:rsidRDefault="00346250" w:rsidP="009E28EB">
      <w:pPr>
        <w:spacing w:after="0" w:line="240" w:lineRule="auto"/>
        <w:jc w:val="both"/>
        <w:rPr>
          <w:rFonts w:cs="Times New Roman"/>
          <w:sz w:val="24"/>
          <w:szCs w:val="24"/>
        </w:rPr>
      </w:pPr>
      <w:r w:rsidRPr="001523A8">
        <w:rPr>
          <w:rFonts w:cs="Times New Roman"/>
          <w:b/>
          <w:noProof/>
          <w:sz w:val="24"/>
          <w:szCs w:val="24"/>
        </w:rPr>
        <mc:AlternateContent>
          <mc:Choice Requires="wps">
            <w:drawing>
              <wp:anchor distT="91440" distB="91440" distL="114300" distR="114300" simplePos="0" relativeHeight="251659264" behindDoc="0" locked="0" layoutInCell="0" allowOverlap="1" wp14:anchorId="1FFD9024" wp14:editId="5D8F84A7">
                <wp:simplePos x="0" y="0"/>
                <wp:positionH relativeFrom="margin">
                  <wp:posOffset>3924935</wp:posOffset>
                </wp:positionH>
                <wp:positionV relativeFrom="margin">
                  <wp:posOffset>948690</wp:posOffset>
                </wp:positionV>
                <wp:extent cx="2517775" cy="7745730"/>
                <wp:effectExtent l="0" t="0" r="15875" b="2667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517775" cy="774573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E6B6D" w:rsidRPr="00B9616F" w:rsidRDefault="002A42C9" w:rsidP="001F3AB1">
                            <w:pPr>
                              <w:spacing w:after="0" w:line="240" w:lineRule="auto"/>
                              <w:rPr>
                                <w:b/>
                                <w:sz w:val="20"/>
                                <w:szCs w:val="20"/>
                              </w:rPr>
                            </w:pPr>
                            <w:r>
                              <w:rPr>
                                <w:b/>
                                <w:sz w:val="20"/>
                                <w:szCs w:val="20"/>
                              </w:rPr>
                              <w:t xml:space="preserve">Our Hypothesis:  </w:t>
                            </w:r>
                            <w:r w:rsidR="00EE6B6D" w:rsidRPr="006A50ED">
                              <w:rPr>
                                <w:b/>
                                <w:sz w:val="20"/>
                                <w:szCs w:val="20"/>
                              </w:rPr>
                              <w:t>Why Tax and Illicit Financial Flows?</w:t>
                            </w:r>
                          </w:p>
                          <w:p w:rsidR="00EE6B6D" w:rsidRPr="001F3AB1" w:rsidRDefault="007F16F9" w:rsidP="001F3AB1">
                            <w:pPr>
                              <w:numPr>
                                <w:ilvl w:val="0"/>
                                <w:numId w:val="2"/>
                              </w:numPr>
                              <w:spacing w:after="0" w:line="240" w:lineRule="auto"/>
                              <w:rPr>
                                <w:sz w:val="20"/>
                                <w:szCs w:val="20"/>
                              </w:rPr>
                            </w:pPr>
                            <w:r>
                              <w:rPr>
                                <w:b/>
                                <w:sz w:val="20"/>
                                <w:szCs w:val="20"/>
                              </w:rPr>
                              <w:t>T</w:t>
                            </w:r>
                            <w:r w:rsidR="00EE6B6D" w:rsidRPr="001F3AB1">
                              <w:rPr>
                                <w:b/>
                                <w:sz w:val="20"/>
                                <w:szCs w:val="20"/>
                              </w:rPr>
                              <w:t>axation is the most sustainable source of development finance</w:t>
                            </w:r>
                            <w:r w:rsidR="00EE6B6D" w:rsidRPr="001F3AB1">
                              <w:rPr>
                                <w:sz w:val="20"/>
                                <w:szCs w:val="20"/>
                              </w:rPr>
                              <w:t>, and a more productive tax system will enhance the ability of countries to realize their national development goals in health, education, water, etc., meaningfully reduce poverty and aid dependence;</w:t>
                            </w:r>
                          </w:p>
                          <w:p w:rsidR="00EE6B6D" w:rsidRPr="001F3AB1" w:rsidRDefault="007F16F9" w:rsidP="001F3AB1">
                            <w:pPr>
                              <w:numPr>
                                <w:ilvl w:val="0"/>
                                <w:numId w:val="2"/>
                              </w:numPr>
                              <w:spacing w:after="0" w:line="240" w:lineRule="auto"/>
                              <w:rPr>
                                <w:sz w:val="20"/>
                                <w:szCs w:val="20"/>
                              </w:rPr>
                            </w:pPr>
                            <w:r>
                              <w:rPr>
                                <w:b/>
                                <w:sz w:val="20"/>
                                <w:szCs w:val="20"/>
                              </w:rPr>
                              <w:t>A</w:t>
                            </w:r>
                            <w:r w:rsidR="00EE6B6D" w:rsidRPr="001F3AB1">
                              <w:rPr>
                                <w:b/>
                                <w:sz w:val="20"/>
                                <w:szCs w:val="20"/>
                              </w:rPr>
                              <w:t xml:space="preserve"> country’s tax system reflects the quality of governance in the country</w:t>
                            </w:r>
                            <w:r w:rsidR="00EE6B6D" w:rsidRPr="001F3AB1">
                              <w:rPr>
                                <w:sz w:val="20"/>
                                <w:szCs w:val="20"/>
                              </w:rPr>
                              <w:t xml:space="preserve"> such that governments that are more reliant on non-tax revenues vs tax revenues tend to be less accountable to their citizens; </w:t>
                            </w:r>
                          </w:p>
                          <w:p w:rsidR="00EE6B6D" w:rsidRPr="001F3AB1" w:rsidRDefault="007F16F9" w:rsidP="001F3AB1">
                            <w:pPr>
                              <w:numPr>
                                <w:ilvl w:val="0"/>
                                <w:numId w:val="2"/>
                              </w:numPr>
                              <w:spacing w:after="0" w:line="240" w:lineRule="auto"/>
                              <w:rPr>
                                <w:sz w:val="20"/>
                                <w:szCs w:val="20"/>
                              </w:rPr>
                            </w:pPr>
                            <w:r>
                              <w:rPr>
                                <w:b/>
                                <w:sz w:val="20"/>
                                <w:szCs w:val="20"/>
                              </w:rPr>
                              <w:t>P</w:t>
                            </w:r>
                            <w:r w:rsidR="00EE6B6D" w:rsidRPr="001F3AB1">
                              <w:rPr>
                                <w:b/>
                                <w:sz w:val="20"/>
                                <w:szCs w:val="20"/>
                              </w:rPr>
                              <w:t>aying taxes can increase citizen demand for i</w:t>
                            </w:r>
                            <w:r w:rsidR="00745FD5">
                              <w:rPr>
                                <w:b/>
                                <w:sz w:val="20"/>
                                <w:szCs w:val="20"/>
                              </w:rPr>
                              <w:t>mproved public service delivery</w:t>
                            </w:r>
                            <w:r w:rsidR="00EE6B6D" w:rsidRPr="001F3AB1">
                              <w:rPr>
                                <w:sz w:val="20"/>
                                <w:szCs w:val="20"/>
                              </w:rPr>
                              <w:t xml:space="preserve"> (particularly at the local government level); </w:t>
                            </w:r>
                          </w:p>
                          <w:p w:rsidR="00EE6B6D" w:rsidRDefault="007F16F9" w:rsidP="001F3AB1">
                            <w:pPr>
                              <w:numPr>
                                <w:ilvl w:val="0"/>
                                <w:numId w:val="2"/>
                              </w:numPr>
                              <w:spacing w:after="0" w:line="240" w:lineRule="auto"/>
                              <w:rPr>
                                <w:sz w:val="20"/>
                                <w:szCs w:val="20"/>
                              </w:rPr>
                            </w:pPr>
                            <w:r>
                              <w:rPr>
                                <w:b/>
                                <w:sz w:val="20"/>
                                <w:szCs w:val="20"/>
                              </w:rPr>
                              <w:t>T</w:t>
                            </w:r>
                            <w:r w:rsidR="00EE6B6D" w:rsidRPr="001F3AB1">
                              <w:rPr>
                                <w:b/>
                                <w:sz w:val="20"/>
                                <w:szCs w:val="20"/>
                              </w:rPr>
                              <w:t>axes can potentially encourage certain</w:t>
                            </w:r>
                            <w:r w:rsidR="00DE612F">
                              <w:rPr>
                                <w:b/>
                                <w:sz w:val="20"/>
                                <w:szCs w:val="20"/>
                              </w:rPr>
                              <w:t xml:space="preserve"> economic</w:t>
                            </w:r>
                            <w:r w:rsidR="00EE6B6D" w:rsidRPr="001F3AB1">
                              <w:rPr>
                                <w:b/>
                                <w:sz w:val="20"/>
                                <w:szCs w:val="20"/>
                              </w:rPr>
                              <w:t xml:space="preserve"> behavior</w:t>
                            </w:r>
                            <w:r w:rsidR="00EE6B6D" w:rsidRPr="001F3AB1">
                              <w:rPr>
                                <w:sz w:val="20"/>
                                <w:szCs w:val="20"/>
                              </w:rPr>
                              <w:t xml:space="preserve"> (e.g. </w:t>
                            </w:r>
                            <w:r>
                              <w:rPr>
                                <w:sz w:val="20"/>
                                <w:szCs w:val="20"/>
                              </w:rPr>
                              <w:t>local content</w:t>
                            </w:r>
                            <w:r w:rsidR="00EE6B6D" w:rsidRPr="001F3AB1">
                              <w:rPr>
                                <w:sz w:val="20"/>
                                <w:szCs w:val="20"/>
                              </w:rPr>
                              <w:t xml:space="preserve">) and </w:t>
                            </w:r>
                            <w:r w:rsidR="00EE6B6D" w:rsidRPr="001F3AB1">
                              <w:rPr>
                                <w:b/>
                                <w:sz w:val="20"/>
                                <w:szCs w:val="20"/>
                              </w:rPr>
                              <w:t>reduce income inequality</w:t>
                            </w:r>
                            <w:r w:rsidR="00EE6B6D" w:rsidRPr="001F3AB1">
                              <w:rPr>
                                <w:sz w:val="20"/>
                                <w:szCs w:val="20"/>
                              </w:rPr>
                              <w:t xml:space="preserve"> (</w:t>
                            </w:r>
                            <w:r w:rsidR="00B9616F">
                              <w:rPr>
                                <w:sz w:val="20"/>
                                <w:szCs w:val="20"/>
                              </w:rPr>
                              <w:t>e.g. more progressive vs regressive systems</w:t>
                            </w:r>
                            <w:r w:rsidR="00EE6B6D" w:rsidRPr="001F3AB1">
                              <w:rPr>
                                <w:sz w:val="20"/>
                                <w:szCs w:val="20"/>
                              </w:rPr>
                              <w:t>)</w:t>
                            </w:r>
                            <w:r w:rsidR="00EE6B6D">
                              <w:rPr>
                                <w:sz w:val="20"/>
                                <w:szCs w:val="20"/>
                              </w:rPr>
                              <w:t>;</w:t>
                            </w:r>
                          </w:p>
                          <w:p w:rsidR="00EE6B6D" w:rsidRDefault="00EE6B6D" w:rsidP="001F3AB1">
                            <w:pPr>
                              <w:numPr>
                                <w:ilvl w:val="0"/>
                                <w:numId w:val="2"/>
                              </w:numPr>
                              <w:spacing w:after="0" w:line="240" w:lineRule="auto"/>
                              <w:rPr>
                                <w:sz w:val="20"/>
                                <w:szCs w:val="20"/>
                              </w:rPr>
                            </w:pPr>
                            <w:r>
                              <w:rPr>
                                <w:b/>
                                <w:sz w:val="20"/>
                                <w:szCs w:val="20"/>
                              </w:rPr>
                              <w:t>Developing countries lose more through illicit flows than they receive in aid</w:t>
                            </w:r>
                            <w:r w:rsidR="00DE612F">
                              <w:rPr>
                                <w:b/>
                                <w:sz w:val="20"/>
                                <w:szCs w:val="20"/>
                              </w:rPr>
                              <w:t xml:space="preserve">, </w:t>
                            </w:r>
                            <w:r w:rsidR="00DE612F">
                              <w:rPr>
                                <w:sz w:val="20"/>
                                <w:szCs w:val="20"/>
                              </w:rPr>
                              <w:t xml:space="preserve">and many of these </w:t>
                            </w:r>
                            <w:r w:rsidR="00DE612F" w:rsidRPr="00DE612F">
                              <w:rPr>
                                <w:sz w:val="20"/>
                                <w:szCs w:val="20"/>
                              </w:rPr>
                              <w:t xml:space="preserve">losses are </w:t>
                            </w:r>
                            <w:r w:rsidR="00DE612F">
                              <w:rPr>
                                <w:sz w:val="20"/>
                                <w:szCs w:val="20"/>
                              </w:rPr>
                              <w:t xml:space="preserve">largely </w:t>
                            </w:r>
                            <w:r w:rsidR="00DE612F" w:rsidRPr="00DE612F">
                              <w:rPr>
                                <w:sz w:val="20"/>
                                <w:szCs w:val="20"/>
                              </w:rPr>
                              <w:t>avoidable</w:t>
                            </w:r>
                            <w:r>
                              <w:rPr>
                                <w:b/>
                                <w:sz w:val="20"/>
                                <w:szCs w:val="20"/>
                              </w:rPr>
                              <w:t xml:space="preserve">; </w:t>
                            </w:r>
                          </w:p>
                          <w:p w:rsidR="00AE5F5C" w:rsidRPr="00AE5F5C" w:rsidRDefault="00AE5F5C" w:rsidP="001F3AB1">
                            <w:pPr>
                              <w:numPr>
                                <w:ilvl w:val="0"/>
                                <w:numId w:val="2"/>
                              </w:numPr>
                              <w:spacing w:after="0" w:line="240" w:lineRule="auto"/>
                              <w:rPr>
                                <w:b/>
                                <w:sz w:val="20"/>
                                <w:szCs w:val="20"/>
                              </w:rPr>
                            </w:pPr>
                            <w:r w:rsidRPr="00AE5F5C">
                              <w:rPr>
                                <w:b/>
                                <w:sz w:val="20"/>
                                <w:szCs w:val="20"/>
                              </w:rPr>
                              <w:t xml:space="preserve">The same vehicles that are used to shift profits and aggressively reduce/subvert tax obligations </w:t>
                            </w:r>
                            <w:r w:rsidRPr="00AE5F5C">
                              <w:rPr>
                                <w:sz w:val="20"/>
                                <w:szCs w:val="20"/>
                              </w:rPr>
                              <w:t xml:space="preserve">are also used by corrupt government officials and criminals </w:t>
                            </w:r>
                            <w:r w:rsidRPr="00AE5F5C">
                              <w:rPr>
                                <w:b/>
                                <w:sz w:val="20"/>
                                <w:szCs w:val="20"/>
                              </w:rPr>
                              <w:t>to launder</w:t>
                            </w:r>
                            <w:r w:rsidR="002B0FB9">
                              <w:rPr>
                                <w:b/>
                                <w:sz w:val="20"/>
                                <w:szCs w:val="20"/>
                              </w:rPr>
                              <w:t xml:space="preserve"> and hide</w:t>
                            </w:r>
                            <w:r w:rsidRPr="00AE5F5C">
                              <w:rPr>
                                <w:b/>
                                <w:sz w:val="20"/>
                                <w:szCs w:val="20"/>
                              </w:rPr>
                              <w:t xml:space="preserve"> ill-gotten wealth</w:t>
                            </w:r>
                          </w:p>
                          <w:p w:rsidR="00EE6B6D" w:rsidRPr="001F3AB1" w:rsidRDefault="00EE6B6D" w:rsidP="001F3AB1">
                            <w:pPr>
                              <w:numPr>
                                <w:ilvl w:val="0"/>
                                <w:numId w:val="2"/>
                              </w:numPr>
                              <w:spacing w:after="0" w:line="240" w:lineRule="auto"/>
                              <w:rPr>
                                <w:sz w:val="20"/>
                                <w:szCs w:val="20"/>
                              </w:rPr>
                            </w:pPr>
                            <w:r>
                              <w:rPr>
                                <w:b/>
                                <w:sz w:val="20"/>
                                <w:szCs w:val="20"/>
                              </w:rPr>
                              <w:t xml:space="preserve">Reducing global financial secrecy </w:t>
                            </w:r>
                            <w:r w:rsidR="00AE5F5C">
                              <w:rPr>
                                <w:b/>
                                <w:sz w:val="20"/>
                                <w:szCs w:val="20"/>
                              </w:rPr>
                              <w:t>can</w:t>
                            </w:r>
                            <w:r>
                              <w:rPr>
                                <w:b/>
                                <w:sz w:val="20"/>
                                <w:szCs w:val="20"/>
                              </w:rPr>
                              <w:t xml:space="preserve"> </w:t>
                            </w:r>
                            <w:r w:rsidR="00536B6F">
                              <w:rPr>
                                <w:b/>
                                <w:sz w:val="20"/>
                                <w:szCs w:val="20"/>
                              </w:rPr>
                              <w:t xml:space="preserve">help </w:t>
                            </w:r>
                            <w:r>
                              <w:rPr>
                                <w:b/>
                                <w:sz w:val="20"/>
                                <w:szCs w:val="20"/>
                              </w:rPr>
                              <w:t>reduce the</w:t>
                            </w:r>
                            <w:r w:rsidR="00536B6F">
                              <w:rPr>
                                <w:b/>
                                <w:sz w:val="20"/>
                                <w:szCs w:val="20"/>
                              </w:rPr>
                              <w:t xml:space="preserve"> amount and</w:t>
                            </w:r>
                            <w:r>
                              <w:rPr>
                                <w:b/>
                                <w:sz w:val="20"/>
                                <w:szCs w:val="20"/>
                              </w:rPr>
                              <w:t xml:space="preserve"> adverse impact of illicit flows.</w:t>
                            </w: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309.05pt;margin-top:74.7pt;width:198.25pt;height:609.9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" o:allowincell="f" fillcolor="white [3201]" strokecolor="black [3200]" strokeweight="2pt">
                <v:textbox inset="21.6pt,21.6pt,21.6pt,21.6pt">
                  <w:txbxContent>
                    <w:p w:rsidR="00EE6B6D" w:rsidRPr="00B9616F" w:rsidRDefault="002A42C9" w:rsidP="001F3AB1">
                      <w:pPr>
                        <w:spacing w:after="0" w:line="240" w:lineRule="auto"/>
                        <w:rPr>
                          <w:b/>
                          <w:sz w:val="20"/>
                          <w:szCs w:val="20"/>
                        </w:rPr>
                      </w:pPr>
                      <w:r>
                        <w:rPr>
                          <w:b/>
                          <w:sz w:val="20"/>
                          <w:szCs w:val="20"/>
                        </w:rPr>
                        <w:t xml:space="preserve">Our Hypothesis:  </w:t>
                      </w:r>
                      <w:r w:rsidR="00EE6B6D" w:rsidRPr="006A50ED">
                        <w:rPr>
                          <w:b/>
                          <w:sz w:val="20"/>
                          <w:szCs w:val="20"/>
                        </w:rPr>
                        <w:t>Why Tax and Illicit Financial Flows?</w:t>
                      </w:r>
                    </w:p>
                    <w:p w:rsidR="00EE6B6D" w:rsidRPr="001F3AB1" w:rsidRDefault="007F16F9" w:rsidP="001F3AB1">
                      <w:pPr>
                        <w:numPr>
                          <w:ilvl w:val="0"/>
                          <w:numId w:val="2"/>
                        </w:numPr>
                        <w:spacing w:after="0" w:line="240" w:lineRule="auto"/>
                        <w:rPr>
                          <w:sz w:val="20"/>
                          <w:szCs w:val="20"/>
                        </w:rPr>
                      </w:pPr>
                      <w:r>
                        <w:rPr>
                          <w:b/>
                          <w:sz w:val="20"/>
                          <w:szCs w:val="20"/>
                        </w:rPr>
                        <w:t>T</w:t>
                      </w:r>
                      <w:r w:rsidR="00EE6B6D" w:rsidRPr="001F3AB1">
                        <w:rPr>
                          <w:b/>
                          <w:sz w:val="20"/>
                          <w:szCs w:val="20"/>
                        </w:rPr>
                        <w:t>axation is the most sustainable source of development finance</w:t>
                      </w:r>
                      <w:r w:rsidR="00EE6B6D" w:rsidRPr="001F3AB1">
                        <w:rPr>
                          <w:sz w:val="20"/>
                          <w:szCs w:val="20"/>
                        </w:rPr>
                        <w:t>, and a more productive tax system will enhance the ability of countries to realize their national development goals in health, education, water, etc., meaningfully reduce poverty and aid dependence;</w:t>
                      </w:r>
                    </w:p>
                    <w:p w:rsidR="00EE6B6D" w:rsidRPr="001F3AB1" w:rsidRDefault="007F16F9" w:rsidP="001F3AB1">
                      <w:pPr>
                        <w:numPr>
                          <w:ilvl w:val="0"/>
                          <w:numId w:val="2"/>
                        </w:numPr>
                        <w:spacing w:after="0" w:line="240" w:lineRule="auto"/>
                        <w:rPr>
                          <w:sz w:val="20"/>
                          <w:szCs w:val="20"/>
                        </w:rPr>
                      </w:pPr>
                      <w:r>
                        <w:rPr>
                          <w:b/>
                          <w:sz w:val="20"/>
                          <w:szCs w:val="20"/>
                        </w:rPr>
                        <w:t>A</w:t>
                      </w:r>
                      <w:r w:rsidR="00EE6B6D" w:rsidRPr="001F3AB1">
                        <w:rPr>
                          <w:b/>
                          <w:sz w:val="20"/>
                          <w:szCs w:val="20"/>
                        </w:rPr>
                        <w:t xml:space="preserve"> country’s tax system reflects the quality of governance in the country</w:t>
                      </w:r>
                      <w:r w:rsidR="00EE6B6D" w:rsidRPr="001F3AB1">
                        <w:rPr>
                          <w:sz w:val="20"/>
                          <w:szCs w:val="20"/>
                        </w:rPr>
                        <w:t xml:space="preserve"> such that governments that are more reliant on non-tax revenues vs tax revenues tend to be less accountable to their citizens; </w:t>
                      </w:r>
                    </w:p>
                    <w:p w:rsidR="00EE6B6D" w:rsidRPr="001F3AB1" w:rsidRDefault="007F16F9" w:rsidP="001F3AB1">
                      <w:pPr>
                        <w:numPr>
                          <w:ilvl w:val="0"/>
                          <w:numId w:val="2"/>
                        </w:numPr>
                        <w:spacing w:after="0" w:line="240" w:lineRule="auto"/>
                        <w:rPr>
                          <w:sz w:val="20"/>
                          <w:szCs w:val="20"/>
                        </w:rPr>
                      </w:pPr>
                      <w:r>
                        <w:rPr>
                          <w:b/>
                          <w:sz w:val="20"/>
                          <w:szCs w:val="20"/>
                        </w:rPr>
                        <w:t>P</w:t>
                      </w:r>
                      <w:r w:rsidR="00EE6B6D" w:rsidRPr="001F3AB1">
                        <w:rPr>
                          <w:b/>
                          <w:sz w:val="20"/>
                          <w:szCs w:val="20"/>
                        </w:rPr>
                        <w:t>aying taxes can increase citizen demand for i</w:t>
                      </w:r>
                      <w:r w:rsidR="00745FD5">
                        <w:rPr>
                          <w:b/>
                          <w:sz w:val="20"/>
                          <w:szCs w:val="20"/>
                        </w:rPr>
                        <w:t>mproved public service delivery</w:t>
                      </w:r>
                      <w:r w:rsidR="00EE6B6D" w:rsidRPr="001F3AB1">
                        <w:rPr>
                          <w:sz w:val="20"/>
                          <w:szCs w:val="20"/>
                        </w:rPr>
                        <w:t xml:space="preserve"> (particularly at the local government level); </w:t>
                      </w:r>
                    </w:p>
                    <w:p w:rsidR="00EE6B6D" w:rsidRDefault="007F16F9" w:rsidP="001F3AB1">
                      <w:pPr>
                        <w:numPr>
                          <w:ilvl w:val="0"/>
                          <w:numId w:val="2"/>
                        </w:numPr>
                        <w:spacing w:after="0" w:line="240" w:lineRule="auto"/>
                        <w:rPr>
                          <w:sz w:val="20"/>
                          <w:szCs w:val="20"/>
                        </w:rPr>
                      </w:pPr>
                      <w:r>
                        <w:rPr>
                          <w:b/>
                          <w:sz w:val="20"/>
                          <w:szCs w:val="20"/>
                        </w:rPr>
                        <w:t>T</w:t>
                      </w:r>
                      <w:r w:rsidR="00EE6B6D" w:rsidRPr="001F3AB1">
                        <w:rPr>
                          <w:b/>
                          <w:sz w:val="20"/>
                          <w:szCs w:val="20"/>
                        </w:rPr>
                        <w:t>axes can potentially encourage certain</w:t>
                      </w:r>
                      <w:r w:rsidR="00DE612F">
                        <w:rPr>
                          <w:b/>
                          <w:sz w:val="20"/>
                          <w:szCs w:val="20"/>
                        </w:rPr>
                        <w:t xml:space="preserve"> economic</w:t>
                      </w:r>
                      <w:r w:rsidR="00EE6B6D" w:rsidRPr="001F3AB1">
                        <w:rPr>
                          <w:b/>
                          <w:sz w:val="20"/>
                          <w:szCs w:val="20"/>
                        </w:rPr>
                        <w:t xml:space="preserve"> behavior</w:t>
                      </w:r>
                      <w:r w:rsidR="00EE6B6D" w:rsidRPr="001F3AB1">
                        <w:rPr>
                          <w:sz w:val="20"/>
                          <w:szCs w:val="20"/>
                        </w:rPr>
                        <w:t xml:space="preserve"> (e.g. </w:t>
                      </w:r>
                      <w:r>
                        <w:rPr>
                          <w:sz w:val="20"/>
                          <w:szCs w:val="20"/>
                        </w:rPr>
                        <w:t>local content</w:t>
                      </w:r>
                      <w:r w:rsidR="00EE6B6D" w:rsidRPr="001F3AB1">
                        <w:rPr>
                          <w:sz w:val="20"/>
                          <w:szCs w:val="20"/>
                        </w:rPr>
                        <w:t xml:space="preserve">) and </w:t>
                      </w:r>
                      <w:r w:rsidR="00EE6B6D" w:rsidRPr="001F3AB1">
                        <w:rPr>
                          <w:b/>
                          <w:sz w:val="20"/>
                          <w:szCs w:val="20"/>
                        </w:rPr>
                        <w:t>reduce income inequality</w:t>
                      </w:r>
                      <w:r w:rsidR="00EE6B6D" w:rsidRPr="001F3AB1">
                        <w:rPr>
                          <w:sz w:val="20"/>
                          <w:szCs w:val="20"/>
                        </w:rPr>
                        <w:t xml:space="preserve"> (</w:t>
                      </w:r>
                      <w:r w:rsidR="00B9616F">
                        <w:rPr>
                          <w:sz w:val="20"/>
                          <w:szCs w:val="20"/>
                        </w:rPr>
                        <w:t>e.g. more progressive vs regressive systems</w:t>
                      </w:r>
                      <w:r w:rsidR="00EE6B6D" w:rsidRPr="001F3AB1">
                        <w:rPr>
                          <w:sz w:val="20"/>
                          <w:szCs w:val="20"/>
                        </w:rPr>
                        <w:t>)</w:t>
                      </w:r>
                      <w:r w:rsidR="00EE6B6D">
                        <w:rPr>
                          <w:sz w:val="20"/>
                          <w:szCs w:val="20"/>
                        </w:rPr>
                        <w:t>;</w:t>
                      </w:r>
                    </w:p>
                    <w:p w:rsidR="00EE6B6D" w:rsidRDefault="00EE6B6D" w:rsidP="001F3AB1">
                      <w:pPr>
                        <w:numPr>
                          <w:ilvl w:val="0"/>
                          <w:numId w:val="2"/>
                        </w:numPr>
                        <w:spacing w:after="0" w:line="240" w:lineRule="auto"/>
                        <w:rPr>
                          <w:sz w:val="20"/>
                          <w:szCs w:val="20"/>
                        </w:rPr>
                      </w:pPr>
                      <w:r>
                        <w:rPr>
                          <w:b/>
                          <w:sz w:val="20"/>
                          <w:szCs w:val="20"/>
                        </w:rPr>
                        <w:t>Developing countries lose more through illicit flows than they receive in aid</w:t>
                      </w:r>
                      <w:r w:rsidR="00DE612F">
                        <w:rPr>
                          <w:b/>
                          <w:sz w:val="20"/>
                          <w:szCs w:val="20"/>
                        </w:rPr>
                        <w:t xml:space="preserve">, </w:t>
                      </w:r>
                      <w:r w:rsidR="00DE612F">
                        <w:rPr>
                          <w:sz w:val="20"/>
                          <w:szCs w:val="20"/>
                        </w:rPr>
                        <w:t xml:space="preserve">and many of these </w:t>
                      </w:r>
                      <w:r w:rsidR="00DE612F" w:rsidRPr="00DE612F">
                        <w:rPr>
                          <w:sz w:val="20"/>
                          <w:szCs w:val="20"/>
                        </w:rPr>
                        <w:t xml:space="preserve">losses are </w:t>
                      </w:r>
                      <w:r w:rsidR="00DE612F">
                        <w:rPr>
                          <w:sz w:val="20"/>
                          <w:szCs w:val="20"/>
                        </w:rPr>
                        <w:t xml:space="preserve">largely </w:t>
                      </w:r>
                      <w:r w:rsidR="00DE612F" w:rsidRPr="00DE612F">
                        <w:rPr>
                          <w:sz w:val="20"/>
                          <w:szCs w:val="20"/>
                        </w:rPr>
                        <w:t>avoidable</w:t>
                      </w:r>
                      <w:r>
                        <w:rPr>
                          <w:b/>
                          <w:sz w:val="20"/>
                          <w:szCs w:val="20"/>
                        </w:rPr>
                        <w:t xml:space="preserve">; </w:t>
                      </w:r>
                    </w:p>
                    <w:p w:rsidR="00AE5F5C" w:rsidRPr="00AE5F5C" w:rsidRDefault="00AE5F5C" w:rsidP="001F3AB1">
                      <w:pPr>
                        <w:numPr>
                          <w:ilvl w:val="0"/>
                          <w:numId w:val="2"/>
                        </w:numPr>
                        <w:spacing w:after="0" w:line="240" w:lineRule="auto"/>
                        <w:rPr>
                          <w:b/>
                          <w:sz w:val="20"/>
                          <w:szCs w:val="20"/>
                        </w:rPr>
                      </w:pPr>
                      <w:r w:rsidRPr="00AE5F5C">
                        <w:rPr>
                          <w:b/>
                          <w:sz w:val="20"/>
                          <w:szCs w:val="20"/>
                        </w:rPr>
                        <w:t xml:space="preserve">The same vehicles that are used to shift profits and aggressively reduce/subvert tax obligations </w:t>
                      </w:r>
                      <w:r w:rsidRPr="00AE5F5C">
                        <w:rPr>
                          <w:sz w:val="20"/>
                          <w:szCs w:val="20"/>
                        </w:rPr>
                        <w:t xml:space="preserve">are also used by corrupt government officials and criminals </w:t>
                      </w:r>
                      <w:r w:rsidRPr="00AE5F5C">
                        <w:rPr>
                          <w:b/>
                          <w:sz w:val="20"/>
                          <w:szCs w:val="20"/>
                        </w:rPr>
                        <w:t>to launder</w:t>
                      </w:r>
                      <w:r w:rsidR="002B0FB9">
                        <w:rPr>
                          <w:b/>
                          <w:sz w:val="20"/>
                          <w:szCs w:val="20"/>
                        </w:rPr>
                        <w:t xml:space="preserve"> and hide</w:t>
                      </w:r>
                      <w:r w:rsidRPr="00AE5F5C">
                        <w:rPr>
                          <w:b/>
                          <w:sz w:val="20"/>
                          <w:szCs w:val="20"/>
                        </w:rPr>
                        <w:t xml:space="preserve"> ill-gotten wealth</w:t>
                      </w:r>
                    </w:p>
                    <w:p w:rsidR="00EE6B6D" w:rsidRPr="001F3AB1" w:rsidRDefault="00EE6B6D" w:rsidP="001F3AB1">
                      <w:pPr>
                        <w:numPr>
                          <w:ilvl w:val="0"/>
                          <w:numId w:val="2"/>
                        </w:numPr>
                        <w:spacing w:after="0" w:line="240" w:lineRule="auto"/>
                        <w:rPr>
                          <w:sz w:val="20"/>
                          <w:szCs w:val="20"/>
                        </w:rPr>
                      </w:pPr>
                      <w:r>
                        <w:rPr>
                          <w:b/>
                          <w:sz w:val="20"/>
                          <w:szCs w:val="20"/>
                        </w:rPr>
                        <w:t xml:space="preserve">Reducing global financial secrecy </w:t>
                      </w:r>
                      <w:r w:rsidR="00AE5F5C">
                        <w:rPr>
                          <w:b/>
                          <w:sz w:val="20"/>
                          <w:szCs w:val="20"/>
                        </w:rPr>
                        <w:t>can</w:t>
                      </w:r>
                      <w:r>
                        <w:rPr>
                          <w:b/>
                          <w:sz w:val="20"/>
                          <w:szCs w:val="20"/>
                        </w:rPr>
                        <w:t xml:space="preserve"> </w:t>
                      </w:r>
                      <w:r w:rsidR="00536B6F">
                        <w:rPr>
                          <w:b/>
                          <w:sz w:val="20"/>
                          <w:szCs w:val="20"/>
                        </w:rPr>
                        <w:t xml:space="preserve">help </w:t>
                      </w:r>
                      <w:r>
                        <w:rPr>
                          <w:b/>
                          <w:sz w:val="20"/>
                          <w:szCs w:val="20"/>
                        </w:rPr>
                        <w:t>reduce the</w:t>
                      </w:r>
                      <w:r w:rsidR="00536B6F">
                        <w:rPr>
                          <w:b/>
                          <w:sz w:val="20"/>
                          <w:szCs w:val="20"/>
                        </w:rPr>
                        <w:t xml:space="preserve"> amount and</w:t>
                      </w:r>
                      <w:r>
                        <w:rPr>
                          <w:b/>
                          <w:sz w:val="20"/>
                          <w:szCs w:val="20"/>
                        </w:rPr>
                        <w:t xml:space="preserve"> adverse impact of illicit flows.</w:t>
                      </w:r>
                    </w:p>
                  </w:txbxContent>
                </v:textbox>
                <w10:wrap type="square" anchorx="margin" anchory="margin"/>
              </v:rect>
            </w:pict>
          </mc:Fallback>
        </mc:AlternateContent>
      </w:r>
      <w:r w:rsidR="00730A99" w:rsidRPr="00282955">
        <w:rPr>
          <w:rFonts w:cs="Times New Roman"/>
          <w:sz w:val="24"/>
          <w:szCs w:val="24"/>
        </w:rPr>
        <w:t xml:space="preserve">This portfolio review document assesses FGP’s investments under its </w:t>
      </w:r>
      <w:r w:rsidR="00687B30" w:rsidRPr="00282955">
        <w:rPr>
          <w:rFonts w:cs="Times New Roman"/>
          <w:sz w:val="24"/>
          <w:szCs w:val="24"/>
        </w:rPr>
        <w:t>concept around</w:t>
      </w:r>
      <w:r w:rsidR="00730A99" w:rsidRPr="00282955">
        <w:rPr>
          <w:rFonts w:cs="Times New Roman"/>
          <w:sz w:val="24"/>
          <w:szCs w:val="24"/>
        </w:rPr>
        <w:t xml:space="preserve"> develop</w:t>
      </w:r>
      <w:r w:rsidR="00687B30" w:rsidRPr="00282955">
        <w:rPr>
          <w:rFonts w:cs="Times New Roman"/>
          <w:sz w:val="24"/>
          <w:szCs w:val="24"/>
        </w:rPr>
        <w:t>ing</w:t>
      </w:r>
      <w:r w:rsidR="00730A99" w:rsidRPr="00282955">
        <w:rPr>
          <w:rFonts w:cs="Times New Roman"/>
          <w:sz w:val="24"/>
          <w:szCs w:val="24"/>
        </w:rPr>
        <w:t xml:space="preserve"> a nascent</w:t>
      </w:r>
      <w:r w:rsidR="00687B30" w:rsidRPr="00282955">
        <w:rPr>
          <w:rFonts w:cs="Times New Roman"/>
          <w:sz w:val="24"/>
          <w:szCs w:val="24"/>
        </w:rPr>
        <w:t xml:space="preserve"> field on</w:t>
      </w:r>
      <w:r w:rsidR="00730A99" w:rsidRPr="00282955">
        <w:rPr>
          <w:rFonts w:cs="Times New Roman"/>
          <w:sz w:val="24"/>
          <w:szCs w:val="24"/>
        </w:rPr>
        <w:t xml:space="preserve"> illicit financial flows</w:t>
      </w:r>
      <w:r w:rsidR="00B2723D">
        <w:rPr>
          <w:rFonts w:cs="Times New Roman"/>
          <w:sz w:val="24"/>
          <w:szCs w:val="24"/>
        </w:rPr>
        <w:t xml:space="preserve"> (IFF)</w:t>
      </w:r>
      <w:r w:rsidR="00730A99" w:rsidRPr="00282955">
        <w:rPr>
          <w:rFonts w:cs="Times New Roman"/>
          <w:sz w:val="24"/>
          <w:szCs w:val="24"/>
        </w:rPr>
        <w:t xml:space="preserve"> and effective taxation for development, covering the period from March 2013</w:t>
      </w:r>
      <w:r w:rsidR="00E33945">
        <w:rPr>
          <w:rFonts w:cs="Times New Roman"/>
          <w:sz w:val="24"/>
          <w:szCs w:val="24"/>
        </w:rPr>
        <w:t xml:space="preserve"> </w:t>
      </w:r>
      <w:r w:rsidR="00730A99" w:rsidRPr="00282955">
        <w:rPr>
          <w:rFonts w:cs="Times New Roman"/>
          <w:sz w:val="24"/>
          <w:szCs w:val="24"/>
        </w:rPr>
        <w:t>-</w:t>
      </w:r>
      <w:r w:rsidR="00E33945">
        <w:rPr>
          <w:rFonts w:cs="Times New Roman"/>
          <w:sz w:val="24"/>
          <w:szCs w:val="24"/>
        </w:rPr>
        <w:t xml:space="preserve"> </w:t>
      </w:r>
      <w:r w:rsidR="00730A99" w:rsidRPr="00282955">
        <w:rPr>
          <w:rFonts w:cs="Times New Roman"/>
          <w:sz w:val="24"/>
          <w:szCs w:val="24"/>
        </w:rPr>
        <w:t>October 2014.</w:t>
      </w:r>
      <w:r w:rsidR="00CB67E2">
        <w:rPr>
          <w:rFonts w:cs="Times New Roman"/>
          <w:sz w:val="24"/>
          <w:szCs w:val="24"/>
        </w:rPr>
        <w:t xml:space="preserve">  </w:t>
      </w:r>
    </w:p>
    <w:p w:rsidR="00CB67E2" w:rsidRDefault="00CB67E2" w:rsidP="009E28EB">
      <w:pPr>
        <w:spacing w:after="0" w:line="240" w:lineRule="auto"/>
        <w:jc w:val="both"/>
        <w:rPr>
          <w:rFonts w:cs="Times New Roman"/>
          <w:sz w:val="24"/>
          <w:szCs w:val="24"/>
        </w:rPr>
      </w:pPr>
    </w:p>
    <w:p w:rsidR="00CB67E2" w:rsidRPr="00346250" w:rsidRDefault="00CB67E2" w:rsidP="009E28EB">
      <w:pPr>
        <w:spacing w:after="0" w:line="240" w:lineRule="auto"/>
        <w:jc w:val="both"/>
        <w:rPr>
          <w:rFonts w:cs="Times New Roman"/>
          <w:sz w:val="24"/>
          <w:szCs w:val="24"/>
          <w:u w:val="single"/>
        </w:rPr>
      </w:pPr>
      <w:r w:rsidRPr="00CB67E2">
        <w:rPr>
          <w:rFonts w:cs="Times New Roman"/>
          <w:b/>
          <w:sz w:val="24"/>
          <w:szCs w:val="24"/>
        </w:rPr>
        <w:t>Our Ambitions</w:t>
      </w:r>
      <w:r w:rsidR="00673287">
        <w:rPr>
          <w:rFonts w:cs="Times New Roman"/>
          <w:b/>
          <w:sz w:val="24"/>
          <w:szCs w:val="24"/>
        </w:rPr>
        <w:t xml:space="preserve">: </w:t>
      </w:r>
    </w:p>
    <w:p w:rsidR="00B57444" w:rsidRDefault="00425D7B" w:rsidP="009E28EB">
      <w:pPr>
        <w:spacing w:after="0" w:line="240" w:lineRule="auto"/>
        <w:jc w:val="both"/>
        <w:rPr>
          <w:rFonts w:cs="Times New Roman"/>
          <w:sz w:val="24"/>
          <w:szCs w:val="24"/>
        </w:rPr>
      </w:pPr>
      <w:r>
        <w:rPr>
          <w:rFonts w:cs="Times New Roman"/>
          <w:sz w:val="24"/>
          <w:szCs w:val="24"/>
        </w:rPr>
        <w:t>FGP’s Director, Julie McCarthy,</w:t>
      </w:r>
      <w:r w:rsidR="00730A99" w:rsidRPr="00282955">
        <w:rPr>
          <w:rFonts w:cs="Times New Roman"/>
          <w:sz w:val="24"/>
          <w:szCs w:val="24"/>
        </w:rPr>
        <w:t xml:space="preserve"> began this work in early 2013 in an effort to take advantage of growing political momentum within OECD and developing countries </w:t>
      </w:r>
      <w:r w:rsidR="00687B30" w:rsidRPr="00984EE4">
        <w:rPr>
          <w:rFonts w:cs="Times New Roman"/>
          <w:sz w:val="24"/>
          <w:szCs w:val="24"/>
        </w:rPr>
        <w:t>to address the</w:t>
      </w:r>
      <w:r w:rsidR="001C04D2" w:rsidRPr="00984EE4">
        <w:rPr>
          <w:rFonts w:cs="Times New Roman"/>
          <w:sz w:val="24"/>
          <w:szCs w:val="24"/>
        </w:rPr>
        <w:t xml:space="preserve"> problems of money </w:t>
      </w:r>
      <w:r w:rsidR="00730A99" w:rsidRPr="00984EE4">
        <w:rPr>
          <w:rFonts w:cs="Times New Roman"/>
          <w:sz w:val="24"/>
          <w:szCs w:val="24"/>
        </w:rPr>
        <w:t xml:space="preserve">laundering, corruption and tax evasion/aggressive tax avoidance, particularly </w:t>
      </w:r>
      <w:r w:rsidR="00687B30" w:rsidRPr="00984EE4">
        <w:rPr>
          <w:rFonts w:cs="Times New Roman"/>
          <w:sz w:val="24"/>
          <w:szCs w:val="24"/>
        </w:rPr>
        <w:t>as they affect the domestic resource mobilization potential of low-income countries.</w:t>
      </w:r>
      <w:r w:rsidR="00984EE4" w:rsidRPr="00984EE4">
        <w:rPr>
          <w:rFonts w:cs="Times New Roman"/>
          <w:sz w:val="24"/>
          <w:szCs w:val="24"/>
        </w:rPr>
        <w:t xml:space="preserve">  </w:t>
      </w:r>
      <w:r w:rsidR="007E53F3" w:rsidRPr="00984EE4">
        <w:rPr>
          <w:rFonts w:cs="Times New Roman"/>
          <w:sz w:val="24"/>
          <w:szCs w:val="24"/>
        </w:rPr>
        <w:t>High profile tax avoidance scandals by large</w:t>
      </w:r>
      <w:r w:rsidR="00E828C7" w:rsidRPr="00984EE4">
        <w:rPr>
          <w:rFonts w:cs="Times New Roman"/>
          <w:sz w:val="24"/>
          <w:szCs w:val="24"/>
        </w:rPr>
        <w:t xml:space="preserve"> multinational corporations (MNCs)</w:t>
      </w:r>
      <w:r w:rsidR="007E53F3" w:rsidRPr="00984EE4">
        <w:rPr>
          <w:rFonts w:cs="Times New Roman"/>
          <w:sz w:val="24"/>
          <w:szCs w:val="24"/>
        </w:rPr>
        <w:t xml:space="preserve"> in Europe during</w:t>
      </w:r>
      <w:r w:rsidR="007E53F3" w:rsidRPr="00282955">
        <w:rPr>
          <w:rFonts w:cs="Times New Roman"/>
          <w:sz w:val="24"/>
          <w:szCs w:val="24"/>
        </w:rPr>
        <w:t xml:space="preserve"> the height of fiscal austerity in late 2012/early 2013 had a transformative impact on the political climate </w:t>
      </w:r>
      <w:r w:rsidR="00E828C7" w:rsidRPr="00282955">
        <w:rPr>
          <w:rFonts w:cs="Times New Roman"/>
          <w:sz w:val="24"/>
          <w:szCs w:val="24"/>
        </w:rPr>
        <w:t>around</w:t>
      </w:r>
      <w:r w:rsidR="007E53F3" w:rsidRPr="00282955">
        <w:rPr>
          <w:rFonts w:cs="Times New Roman"/>
          <w:sz w:val="24"/>
          <w:szCs w:val="24"/>
        </w:rPr>
        <w:t xml:space="preserve"> previously </w:t>
      </w:r>
      <w:r w:rsidR="00E828C7" w:rsidRPr="00282955">
        <w:rPr>
          <w:rFonts w:cs="Times New Roman"/>
          <w:sz w:val="24"/>
          <w:szCs w:val="24"/>
        </w:rPr>
        <w:t>taboo subjects such as beneficial ownership transparency and country-by-country financial reporting for MNCs</w:t>
      </w:r>
      <w:r w:rsidR="00E73D69">
        <w:rPr>
          <w:rFonts w:cs="Times New Roman"/>
          <w:sz w:val="24"/>
          <w:szCs w:val="24"/>
        </w:rPr>
        <w:t>, leading to new policy opportunities in both OECD and low-income countries</w:t>
      </w:r>
      <w:r w:rsidR="00E828C7" w:rsidRPr="00282955">
        <w:rPr>
          <w:rFonts w:cs="Times New Roman"/>
          <w:sz w:val="24"/>
          <w:szCs w:val="24"/>
        </w:rPr>
        <w:t xml:space="preserve">.  </w:t>
      </w:r>
    </w:p>
    <w:p w:rsidR="00346250" w:rsidRDefault="00346250" w:rsidP="009E28EB">
      <w:pPr>
        <w:spacing w:after="0" w:line="240" w:lineRule="auto"/>
        <w:jc w:val="both"/>
        <w:rPr>
          <w:rFonts w:cs="Times New Roman"/>
          <w:sz w:val="24"/>
          <w:szCs w:val="24"/>
        </w:rPr>
      </w:pPr>
    </w:p>
    <w:p w:rsidR="007F6C27" w:rsidRPr="00282955" w:rsidRDefault="007F6C27" w:rsidP="009E28EB">
      <w:pPr>
        <w:spacing w:after="0" w:line="240" w:lineRule="auto"/>
        <w:jc w:val="both"/>
        <w:rPr>
          <w:rFonts w:cs="Times New Roman"/>
          <w:sz w:val="24"/>
          <w:szCs w:val="24"/>
        </w:rPr>
      </w:pPr>
      <w:r w:rsidRPr="00282955">
        <w:rPr>
          <w:rFonts w:cs="Times New Roman"/>
          <w:sz w:val="24"/>
          <w:szCs w:val="24"/>
        </w:rPr>
        <w:t>FGP’s goals through its grant making and operational work around this concept were to:</w:t>
      </w:r>
    </w:p>
    <w:p w:rsidR="007F6C27" w:rsidRPr="008A33E9" w:rsidRDefault="007F6C27" w:rsidP="009E28EB">
      <w:pPr>
        <w:pStyle w:val="ListParagraph"/>
        <w:numPr>
          <w:ilvl w:val="0"/>
          <w:numId w:val="1"/>
        </w:numPr>
        <w:spacing w:after="0" w:line="240" w:lineRule="auto"/>
        <w:jc w:val="both"/>
        <w:rPr>
          <w:rFonts w:cs="Times New Roman"/>
          <w:sz w:val="24"/>
          <w:szCs w:val="24"/>
        </w:rPr>
      </w:pPr>
      <w:r w:rsidRPr="008A33E9">
        <w:rPr>
          <w:rFonts w:cs="Times New Roman"/>
          <w:sz w:val="24"/>
          <w:szCs w:val="24"/>
        </w:rPr>
        <w:t>Strengthen a set of anchor organizations within the US, Europe and the global south to play a more effective role on policy advocacy internationally and within low income countries on illici</w:t>
      </w:r>
      <w:r w:rsidR="007F16F9">
        <w:rPr>
          <w:rFonts w:cs="Times New Roman"/>
          <w:sz w:val="24"/>
          <w:szCs w:val="24"/>
        </w:rPr>
        <w:t>t flows and tax policy concerns;</w:t>
      </w:r>
      <w:r w:rsidRPr="008A33E9">
        <w:rPr>
          <w:rFonts w:cs="Times New Roman"/>
          <w:sz w:val="24"/>
          <w:szCs w:val="24"/>
        </w:rPr>
        <w:t xml:space="preserve"> </w:t>
      </w:r>
    </w:p>
    <w:p w:rsidR="0038145D" w:rsidRPr="008A33E9" w:rsidRDefault="007F6C27" w:rsidP="009E28EB">
      <w:pPr>
        <w:pStyle w:val="ListParagraph"/>
        <w:numPr>
          <w:ilvl w:val="0"/>
          <w:numId w:val="1"/>
        </w:numPr>
        <w:spacing w:after="0" w:line="240" w:lineRule="auto"/>
        <w:jc w:val="both"/>
        <w:rPr>
          <w:rFonts w:cs="Times New Roman"/>
          <w:sz w:val="24"/>
          <w:szCs w:val="24"/>
        </w:rPr>
      </w:pPr>
      <w:r w:rsidRPr="008A33E9">
        <w:rPr>
          <w:rFonts w:cs="Times New Roman"/>
          <w:sz w:val="24"/>
          <w:szCs w:val="24"/>
        </w:rPr>
        <w:t>Ensure that OECD debates included southern voices and addressed southern concerns in their policy proposals</w:t>
      </w:r>
      <w:r w:rsidR="007F16F9">
        <w:rPr>
          <w:rFonts w:cs="Times New Roman"/>
          <w:sz w:val="24"/>
          <w:szCs w:val="24"/>
        </w:rPr>
        <w:t>;</w:t>
      </w:r>
      <w:r w:rsidR="0038145D" w:rsidRPr="008A33E9">
        <w:rPr>
          <w:rFonts w:cs="Times New Roman"/>
          <w:sz w:val="24"/>
          <w:szCs w:val="24"/>
        </w:rPr>
        <w:t xml:space="preserve"> </w:t>
      </w:r>
    </w:p>
    <w:p w:rsidR="007F6C27" w:rsidRPr="008A33E9" w:rsidRDefault="007F6C27" w:rsidP="009E28EB">
      <w:pPr>
        <w:pStyle w:val="ListParagraph"/>
        <w:numPr>
          <w:ilvl w:val="0"/>
          <w:numId w:val="1"/>
        </w:numPr>
        <w:spacing w:after="0" w:line="240" w:lineRule="auto"/>
        <w:jc w:val="both"/>
        <w:rPr>
          <w:rFonts w:cs="Times New Roman"/>
          <w:sz w:val="24"/>
          <w:szCs w:val="24"/>
        </w:rPr>
      </w:pPr>
      <w:r w:rsidRPr="008A33E9">
        <w:rPr>
          <w:rFonts w:cs="Times New Roman"/>
          <w:sz w:val="24"/>
          <w:szCs w:val="24"/>
        </w:rPr>
        <w:t>Build a more solid evidence base around the detrimental development</w:t>
      </w:r>
      <w:r w:rsidR="007F16F9">
        <w:rPr>
          <w:rFonts w:cs="Times New Roman"/>
          <w:sz w:val="24"/>
          <w:szCs w:val="24"/>
        </w:rPr>
        <w:t>al</w:t>
      </w:r>
      <w:r w:rsidRPr="008A33E9">
        <w:rPr>
          <w:rFonts w:cs="Times New Roman"/>
          <w:sz w:val="24"/>
          <w:szCs w:val="24"/>
        </w:rPr>
        <w:t xml:space="preserve"> and governance impacts of illicit flows and tax evasion/avoidance </w:t>
      </w:r>
      <w:r w:rsidR="0038145D" w:rsidRPr="008A33E9">
        <w:rPr>
          <w:rFonts w:cs="Times New Roman"/>
          <w:sz w:val="24"/>
          <w:szCs w:val="24"/>
        </w:rPr>
        <w:t>in</w:t>
      </w:r>
      <w:r w:rsidRPr="008A33E9">
        <w:rPr>
          <w:rFonts w:cs="Times New Roman"/>
          <w:sz w:val="24"/>
          <w:szCs w:val="24"/>
        </w:rPr>
        <w:t xml:space="preserve"> the global south</w:t>
      </w:r>
      <w:r w:rsidR="007F16F9">
        <w:rPr>
          <w:rFonts w:cs="Times New Roman"/>
          <w:sz w:val="24"/>
          <w:szCs w:val="24"/>
        </w:rPr>
        <w:t>;</w:t>
      </w:r>
    </w:p>
    <w:p w:rsidR="007F6C27" w:rsidRPr="008A33E9" w:rsidRDefault="007F6C27" w:rsidP="009E28EB">
      <w:pPr>
        <w:pStyle w:val="ListParagraph"/>
        <w:numPr>
          <w:ilvl w:val="0"/>
          <w:numId w:val="1"/>
        </w:numPr>
        <w:spacing w:after="0" w:line="240" w:lineRule="auto"/>
        <w:jc w:val="both"/>
        <w:rPr>
          <w:rFonts w:cs="Times New Roman"/>
          <w:sz w:val="24"/>
          <w:szCs w:val="24"/>
        </w:rPr>
      </w:pPr>
      <w:r w:rsidRPr="008A33E9">
        <w:rPr>
          <w:rFonts w:cs="Times New Roman"/>
          <w:sz w:val="24"/>
          <w:szCs w:val="24"/>
        </w:rPr>
        <w:t>Diversify the field’s resource base and put it on a more sustainable footing</w:t>
      </w:r>
      <w:r w:rsidR="007F16F9">
        <w:rPr>
          <w:rFonts w:cs="Times New Roman"/>
          <w:sz w:val="24"/>
          <w:szCs w:val="24"/>
        </w:rPr>
        <w:t>;</w:t>
      </w:r>
    </w:p>
    <w:p w:rsidR="0096335A" w:rsidRPr="008A33E9" w:rsidRDefault="007F6C27" w:rsidP="009E28EB">
      <w:pPr>
        <w:pStyle w:val="ListParagraph"/>
        <w:numPr>
          <w:ilvl w:val="0"/>
          <w:numId w:val="1"/>
        </w:numPr>
        <w:spacing w:after="0" w:line="240" w:lineRule="auto"/>
        <w:jc w:val="both"/>
        <w:rPr>
          <w:rFonts w:cs="Times New Roman"/>
          <w:sz w:val="24"/>
          <w:szCs w:val="24"/>
        </w:rPr>
      </w:pPr>
      <w:r w:rsidRPr="008A33E9">
        <w:rPr>
          <w:rFonts w:cs="Times New Roman"/>
          <w:sz w:val="24"/>
          <w:szCs w:val="24"/>
        </w:rPr>
        <w:t xml:space="preserve">Achieve specific policy goals </w:t>
      </w:r>
      <w:r w:rsidR="00AE5F5C">
        <w:rPr>
          <w:rFonts w:cs="Times New Roman"/>
          <w:sz w:val="24"/>
          <w:szCs w:val="24"/>
        </w:rPr>
        <w:t>on</w:t>
      </w:r>
      <w:r w:rsidRPr="008A33E9">
        <w:rPr>
          <w:rFonts w:cs="Times New Roman"/>
          <w:sz w:val="24"/>
          <w:szCs w:val="24"/>
        </w:rPr>
        <w:t xml:space="preserve"> beneficial ownership transparency in the U.S. and </w:t>
      </w:r>
      <w:r w:rsidR="00AE5F5C">
        <w:rPr>
          <w:rFonts w:cs="Times New Roman"/>
          <w:sz w:val="24"/>
          <w:szCs w:val="24"/>
        </w:rPr>
        <w:t>EU.</w:t>
      </w:r>
    </w:p>
    <w:p w:rsidR="001523A8" w:rsidRDefault="001523A8" w:rsidP="009E28EB">
      <w:pPr>
        <w:spacing w:after="0" w:line="240" w:lineRule="auto"/>
        <w:jc w:val="both"/>
        <w:rPr>
          <w:rFonts w:cs="Times New Roman"/>
          <w:b/>
          <w:sz w:val="24"/>
          <w:szCs w:val="24"/>
        </w:rPr>
      </w:pPr>
    </w:p>
    <w:p w:rsidR="00673287" w:rsidRDefault="0096335A" w:rsidP="009E28EB">
      <w:pPr>
        <w:spacing w:after="0" w:line="240" w:lineRule="auto"/>
        <w:jc w:val="both"/>
        <w:rPr>
          <w:rFonts w:cs="Times New Roman"/>
          <w:sz w:val="24"/>
          <w:szCs w:val="24"/>
        </w:rPr>
      </w:pPr>
      <w:r w:rsidRPr="0096335A">
        <w:rPr>
          <w:rFonts w:cs="Times New Roman"/>
          <w:b/>
          <w:sz w:val="24"/>
          <w:szCs w:val="24"/>
        </w:rPr>
        <w:t>Our Place</w:t>
      </w:r>
      <w:r w:rsidR="00673287">
        <w:rPr>
          <w:rFonts w:cs="Times New Roman"/>
          <w:b/>
          <w:sz w:val="24"/>
          <w:szCs w:val="24"/>
        </w:rPr>
        <w:t xml:space="preserve">:  </w:t>
      </w:r>
      <w:r w:rsidR="00C8718A">
        <w:rPr>
          <w:rFonts w:cs="Times New Roman"/>
          <w:sz w:val="24"/>
          <w:szCs w:val="24"/>
          <w:u w:val="single"/>
        </w:rPr>
        <w:t>Background and C</w:t>
      </w:r>
      <w:r w:rsidR="00673287" w:rsidRPr="00673287">
        <w:rPr>
          <w:rFonts w:cs="Times New Roman"/>
          <w:sz w:val="24"/>
          <w:szCs w:val="24"/>
          <w:u w:val="single"/>
        </w:rPr>
        <w:t>ontext for FGP’s interventions</w:t>
      </w:r>
    </w:p>
    <w:p w:rsidR="00673287" w:rsidRDefault="00673287" w:rsidP="009E28EB">
      <w:pPr>
        <w:spacing w:after="0" w:line="240" w:lineRule="auto"/>
        <w:jc w:val="both"/>
        <w:rPr>
          <w:rFonts w:cs="Times New Roman"/>
          <w:sz w:val="24"/>
          <w:szCs w:val="24"/>
        </w:rPr>
      </w:pPr>
    </w:p>
    <w:p w:rsidR="00984EE4" w:rsidRDefault="00984EE4" w:rsidP="009E28EB">
      <w:pPr>
        <w:spacing w:after="0" w:line="240" w:lineRule="auto"/>
        <w:jc w:val="both"/>
        <w:rPr>
          <w:rFonts w:cs="Times New Roman"/>
          <w:sz w:val="24"/>
          <w:szCs w:val="24"/>
        </w:rPr>
      </w:pPr>
      <w:r>
        <w:rPr>
          <w:rFonts w:cs="Times New Roman"/>
          <w:sz w:val="24"/>
          <w:szCs w:val="24"/>
        </w:rPr>
        <w:t>It</w:t>
      </w:r>
      <w:r w:rsidR="000818BA" w:rsidRPr="000818BA">
        <w:rPr>
          <w:rFonts w:cs="Times New Roman"/>
          <w:sz w:val="24"/>
          <w:szCs w:val="24"/>
        </w:rPr>
        <w:t xml:space="preserve"> was not until </w:t>
      </w:r>
      <w:r w:rsidR="001523A8">
        <w:rPr>
          <w:rFonts w:cs="Times New Roman"/>
          <w:sz w:val="24"/>
          <w:szCs w:val="24"/>
        </w:rPr>
        <w:t>the aftermath</w:t>
      </w:r>
      <w:r w:rsidR="000818BA">
        <w:rPr>
          <w:rFonts w:cs="Times New Roman"/>
          <w:sz w:val="24"/>
          <w:szCs w:val="24"/>
        </w:rPr>
        <w:t xml:space="preserve"> </w:t>
      </w:r>
      <w:r w:rsidR="001F3AB1">
        <w:rPr>
          <w:rFonts w:cs="Times New Roman"/>
          <w:sz w:val="24"/>
          <w:szCs w:val="24"/>
        </w:rPr>
        <w:t xml:space="preserve">of the </w:t>
      </w:r>
      <w:r w:rsidR="000818BA" w:rsidRPr="000818BA">
        <w:rPr>
          <w:rFonts w:cs="Times New Roman"/>
          <w:sz w:val="24"/>
          <w:szCs w:val="24"/>
        </w:rPr>
        <w:t xml:space="preserve">global financial crisis when </w:t>
      </w:r>
      <w:r w:rsidR="00BF0A1F">
        <w:rPr>
          <w:rFonts w:cs="Times New Roman"/>
          <w:sz w:val="24"/>
          <w:szCs w:val="24"/>
        </w:rPr>
        <w:t xml:space="preserve">EU country budgets as well as their foreign </w:t>
      </w:r>
      <w:r w:rsidR="000818BA" w:rsidRPr="000818BA">
        <w:rPr>
          <w:rFonts w:cs="Times New Roman"/>
          <w:sz w:val="24"/>
          <w:szCs w:val="24"/>
        </w:rPr>
        <w:t xml:space="preserve">aid commitments were ever-shrinking, that </w:t>
      </w:r>
      <w:r w:rsidR="00BF0A1F">
        <w:rPr>
          <w:rFonts w:cs="Times New Roman"/>
          <w:sz w:val="24"/>
          <w:szCs w:val="24"/>
        </w:rPr>
        <w:t xml:space="preserve">we saw </w:t>
      </w:r>
      <w:r w:rsidR="000818BA" w:rsidRPr="000818BA">
        <w:rPr>
          <w:rFonts w:cs="Times New Roman"/>
          <w:sz w:val="24"/>
          <w:szCs w:val="24"/>
        </w:rPr>
        <w:t xml:space="preserve">renewed attention </w:t>
      </w:r>
      <w:r w:rsidR="00BF0A1F">
        <w:rPr>
          <w:rFonts w:cs="Times New Roman"/>
          <w:sz w:val="24"/>
          <w:szCs w:val="24"/>
        </w:rPr>
        <w:t>to</w:t>
      </w:r>
      <w:r w:rsidR="000818BA" w:rsidRPr="000818BA">
        <w:rPr>
          <w:rFonts w:cs="Times New Roman"/>
          <w:sz w:val="24"/>
          <w:szCs w:val="24"/>
        </w:rPr>
        <w:t xml:space="preserve"> the importance of domestic resource mobilization, and specifically, the potential role for taxation to meaningfully improve both development and governance outcomes and reduce income inequality.  </w:t>
      </w:r>
      <w:r w:rsidR="007E0A27">
        <w:rPr>
          <w:rFonts w:cs="Times New Roman"/>
          <w:sz w:val="24"/>
          <w:szCs w:val="24"/>
        </w:rPr>
        <w:t>This sudden attention was a political windfall</w:t>
      </w:r>
      <w:r w:rsidR="00327F12" w:rsidRPr="000818BA">
        <w:rPr>
          <w:rFonts w:cs="Times New Roman"/>
          <w:sz w:val="24"/>
          <w:szCs w:val="24"/>
        </w:rPr>
        <w:t xml:space="preserve"> </w:t>
      </w:r>
      <w:r w:rsidR="007E0A27">
        <w:rPr>
          <w:rFonts w:cs="Times New Roman"/>
          <w:sz w:val="24"/>
          <w:szCs w:val="24"/>
        </w:rPr>
        <w:t>for groups like the</w:t>
      </w:r>
      <w:r w:rsidR="001F3AB1">
        <w:rPr>
          <w:rFonts w:cs="Times New Roman"/>
          <w:sz w:val="24"/>
          <w:szCs w:val="24"/>
        </w:rPr>
        <w:t xml:space="preserve"> </w:t>
      </w:r>
      <w:r w:rsidR="008C6A26" w:rsidRPr="000818BA">
        <w:rPr>
          <w:rFonts w:cs="Times New Roman"/>
          <w:sz w:val="24"/>
          <w:szCs w:val="24"/>
        </w:rPr>
        <w:t>Tax Justice Network</w:t>
      </w:r>
      <w:r w:rsidR="00327F12" w:rsidRPr="000818BA">
        <w:rPr>
          <w:rFonts w:cs="Times New Roman"/>
          <w:sz w:val="24"/>
          <w:szCs w:val="24"/>
        </w:rPr>
        <w:t xml:space="preserve"> (TJN)</w:t>
      </w:r>
      <w:r w:rsidR="008C6A26" w:rsidRPr="000818BA">
        <w:rPr>
          <w:rFonts w:cs="Times New Roman"/>
          <w:sz w:val="24"/>
          <w:szCs w:val="24"/>
        </w:rPr>
        <w:t xml:space="preserve">, </w:t>
      </w:r>
      <w:r w:rsidR="007E0A27">
        <w:rPr>
          <w:rFonts w:cs="Times New Roman"/>
          <w:sz w:val="24"/>
          <w:szCs w:val="24"/>
        </w:rPr>
        <w:t>which since 2003</w:t>
      </w:r>
      <w:r w:rsidR="00327F12" w:rsidRPr="000818BA">
        <w:rPr>
          <w:rFonts w:cs="Times New Roman"/>
          <w:sz w:val="24"/>
          <w:szCs w:val="24"/>
        </w:rPr>
        <w:t xml:space="preserve"> ha</w:t>
      </w:r>
      <w:r w:rsidR="001523A8">
        <w:rPr>
          <w:rFonts w:cs="Times New Roman"/>
          <w:sz w:val="24"/>
          <w:szCs w:val="24"/>
        </w:rPr>
        <w:t>d</w:t>
      </w:r>
      <w:r w:rsidR="00327F12" w:rsidRPr="000818BA">
        <w:rPr>
          <w:rFonts w:cs="Times New Roman"/>
          <w:sz w:val="24"/>
          <w:szCs w:val="24"/>
        </w:rPr>
        <w:t xml:space="preserve"> </w:t>
      </w:r>
      <w:r w:rsidR="00B57444" w:rsidRPr="000818BA">
        <w:rPr>
          <w:rFonts w:cs="Times New Roman"/>
          <w:sz w:val="24"/>
          <w:szCs w:val="24"/>
        </w:rPr>
        <w:t xml:space="preserve">been </w:t>
      </w:r>
      <w:r w:rsidR="007E0A27">
        <w:rPr>
          <w:rFonts w:cs="Times New Roman"/>
          <w:sz w:val="24"/>
          <w:szCs w:val="24"/>
        </w:rPr>
        <w:t>trying to raise</w:t>
      </w:r>
      <w:r w:rsidR="00B57444" w:rsidRPr="000818BA">
        <w:rPr>
          <w:rFonts w:cs="Times New Roman"/>
          <w:sz w:val="24"/>
          <w:szCs w:val="24"/>
        </w:rPr>
        <w:t xml:space="preserve"> awareness about</w:t>
      </w:r>
      <w:r w:rsidR="00327F12" w:rsidRPr="000818BA">
        <w:rPr>
          <w:rFonts w:cs="Times New Roman"/>
          <w:sz w:val="24"/>
          <w:szCs w:val="24"/>
        </w:rPr>
        <w:t xml:space="preserve"> </w:t>
      </w:r>
      <w:r w:rsidR="008862C4" w:rsidRPr="000818BA">
        <w:rPr>
          <w:rFonts w:cs="Times New Roman"/>
          <w:sz w:val="24"/>
          <w:szCs w:val="24"/>
        </w:rPr>
        <w:t>the harmful impacts of tax evasion/avoidance and the role of tax havens</w:t>
      </w:r>
      <w:r w:rsidR="00E05B94" w:rsidRPr="000818BA">
        <w:rPr>
          <w:rFonts w:cs="Times New Roman"/>
          <w:sz w:val="24"/>
          <w:szCs w:val="24"/>
        </w:rPr>
        <w:t xml:space="preserve"> </w:t>
      </w:r>
      <w:r w:rsidR="007E0A27">
        <w:rPr>
          <w:rFonts w:cs="Times New Roman"/>
          <w:sz w:val="24"/>
          <w:szCs w:val="24"/>
        </w:rPr>
        <w:t>in undermining domestic resource mobilization in</w:t>
      </w:r>
      <w:r w:rsidR="00E05B94" w:rsidRPr="000818BA">
        <w:rPr>
          <w:rFonts w:cs="Times New Roman"/>
          <w:sz w:val="24"/>
          <w:szCs w:val="24"/>
        </w:rPr>
        <w:t xml:space="preserve"> both developed and developing economies</w:t>
      </w:r>
      <w:r w:rsidR="008862C4" w:rsidRPr="000818BA">
        <w:rPr>
          <w:rFonts w:cs="Times New Roman"/>
          <w:sz w:val="24"/>
          <w:szCs w:val="24"/>
        </w:rPr>
        <w:t xml:space="preserve">.  Richard Murphy, a founding member of TJN, has been credited with </w:t>
      </w:r>
      <w:r w:rsidR="00831586" w:rsidRPr="000818BA">
        <w:rPr>
          <w:rFonts w:cs="Times New Roman"/>
          <w:sz w:val="24"/>
          <w:szCs w:val="24"/>
        </w:rPr>
        <w:t>creating</w:t>
      </w:r>
      <w:r w:rsidR="008862C4" w:rsidRPr="000818BA">
        <w:rPr>
          <w:rFonts w:cs="Times New Roman"/>
          <w:sz w:val="24"/>
          <w:szCs w:val="24"/>
        </w:rPr>
        <w:t xml:space="preserve"> the </w:t>
      </w:r>
      <w:r w:rsidR="002B0FB9">
        <w:rPr>
          <w:rFonts w:cs="Times New Roman"/>
          <w:sz w:val="24"/>
          <w:szCs w:val="24"/>
        </w:rPr>
        <w:t xml:space="preserve">first draft </w:t>
      </w:r>
      <w:r w:rsidR="00831586" w:rsidRPr="000818BA">
        <w:rPr>
          <w:rFonts w:cs="Times New Roman"/>
          <w:sz w:val="24"/>
          <w:szCs w:val="24"/>
        </w:rPr>
        <w:t xml:space="preserve">country-by-country financial reporting standard, which </w:t>
      </w:r>
      <w:r w:rsidR="002B0FB9">
        <w:rPr>
          <w:rFonts w:cs="Times New Roman"/>
          <w:sz w:val="24"/>
          <w:szCs w:val="24"/>
        </w:rPr>
        <w:t>is finally becoming an</w:t>
      </w:r>
      <w:r w:rsidR="00831586" w:rsidRPr="000818BA">
        <w:rPr>
          <w:rFonts w:cs="Times New Roman"/>
          <w:sz w:val="24"/>
          <w:szCs w:val="24"/>
        </w:rPr>
        <w:t xml:space="preserve"> </w:t>
      </w:r>
      <w:r w:rsidR="00831586">
        <w:rPr>
          <w:rFonts w:cs="Times New Roman"/>
          <w:sz w:val="24"/>
          <w:szCs w:val="24"/>
        </w:rPr>
        <w:t>OECD reporting standard.</w:t>
      </w:r>
      <w:r w:rsidR="00D630B8">
        <w:rPr>
          <w:rFonts w:cs="Times New Roman"/>
          <w:sz w:val="24"/>
          <w:szCs w:val="24"/>
        </w:rPr>
        <w:t xml:space="preserve">  Similarly, </w:t>
      </w:r>
      <w:r w:rsidR="005D4AB8">
        <w:rPr>
          <w:rFonts w:cs="Times New Roman"/>
          <w:sz w:val="24"/>
          <w:szCs w:val="24"/>
        </w:rPr>
        <w:t>the work of Léonce Ndikumana and James Boyce</w:t>
      </w:r>
      <w:r w:rsidR="00360E58">
        <w:rPr>
          <w:rFonts w:cs="Times New Roman"/>
          <w:sz w:val="24"/>
          <w:szCs w:val="24"/>
        </w:rPr>
        <w:t xml:space="preserve"> (2001) and </w:t>
      </w:r>
      <w:r w:rsidR="005D4AB8">
        <w:rPr>
          <w:rFonts w:cs="Times New Roman"/>
          <w:sz w:val="24"/>
          <w:szCs w:val="24"/>
        </w:rPr>
        <w:t>later Raymond Baker</w:t>
      </w:r>
      <w:r w:rsidR="001C04D2">
        <w:rPr>
          <w:rFonts w:cs="Times New Roman"/>
          <w:sz w:val="24"/>
          <w:szCs w:val="24"/>
        </w:rPr>
        <w:t xml:space="preserve"> (2005, 2008</w:t>
      </w:r>
      <w:r w:rsidR="00360E58">
        <w:rPr>
          <w:rFonts w:cs="Times New Roman"/>
          <w:sz w:val="24"/>
          <w:szCs w:val="24"/>
        </w:rPr>
        <w:t>),</w:t>
      </w:r>
      <w:r w:rsidR="005D4AB8">
        <w:rPr>
          <w:rFonts w:cs="Times New Roman"/>
          <w:sz w:val="24"/>
          <w:szCs w:val="24"/>
        </w:rPr>
        <w:t xml:space="preserve"> founder of Global Financial Integrity</w:t>
      </w:r>
      <w:r w:rsidR="001C04D2">
        <w:rPr>
          <w:rFonts w:cs="Times New Roman"/>
          <w:sz w:val="24"/>
          <w:szCs w:val="24"/>
        </w:rPr>
        <w:t xml:space="preserve"> (GFI)</w:t>
      </w:r>
      <w:r w:rsidR="00360E58">
        <w:rPr>
          <w:rFonts w:cs="Times New Roman"/>
          <w:sz w:val="24"/>
          <w:szCs w:val="24"/>
        </w:rPr>
        <w:t>,</w:t>
      </w:r>
      <w:r w:rsidR="005D4AB8">
        <w:rPr>
          <w:rFonts w:cs="Times New Roman"/>
          <w:sz w:val="24"/>
          <w:szCs w:val="24"/>
        </w:rPr>
        <w:t xml:space="preserve"> on capital flight and </w:t>
      </w:r>
      <w:r w:rsidR="001C04D2">
        <w:rPr>
          <w:rFonts w:cs="Times New Roman"/>
          <w:sz w:val="24"/>
          <w:szCs w:val="24"/>
        </w:rPr>
        <w:t xml:space="preserve">IFF </w:t>
      </w:r>
      <w:r w:rsidR="005D4AB8">
        <w:rPr>
          <w:rFonts w:cs="Times New Roman"/>
          <w:sz w:val="24"/>
          <w:szCs w:val="24"/>
        </w:rPr>
        <w:t>respectively</w:t>
      </w:r>
      <w:r w:rsidR="00752A2D">
        <w:rPr>
          <w:rFonts w:cs="Times New Roman"/>
          <w:sz w:val="24"/>
          <w:szCs w:val="24"/>
        </w:rPr>
        <w:t xml:space="preserve">, began seeing increased </w:t>
      </w:r>
      <w:r w:rsidR="00360E58">
        <w:rPr>
          <w:rFonts w:cs="Times New Roman"/>
          <w:sz w:val="24"/>
          <w:szCs w:val="24"/>
        </w:rPr>
        <w:t>traction in development circles</w:t>
      </w:r>
      <w:r w:rsidR="00752A2D">
        <w:rPr>
          <w:rFonts w:cs="Times New Roman"/>
          <w:sz w:val="24"/>
          <w:szCs w:val="24"/>
        </w:rPr>
        <w:t>; specifically their</w:t>
      </w:r>
      <w:r w:rsidR="00360E58">
        <w:rPr>
          <w:rFonts w:cs="Times New Roman"/>
          <w:sz w:val="24"/>
          <w:szCs w:val="24"/>
        </w:rPr>
        <w:t xml:space="preserve"> research findings </w:t>
      </w:r>
      <w:r w:rsidR="005D4AB8">
        <w:rPr>
          <w:rFonts w:cs="Times New Roman"/>
          <w:sz w:val="24"/>
          <w:szCs w:val="24"/>
        </w:rPr>
        <w:t>that develop</w:t>
      </w:r>
      <w:r w:rsidR="00360E58">
        <w:rPr>
          <w:rFonts w:cs="Times New Roman"/>
          <w:sz w:val="24"/>
          <w:szCs w:val="24"/>
        </w:rPr>
        <w:t xml:space="preserve">ing countries </w:t>
      </w:r>
      <w:r w:rsidR="005D4AB8">
        <w:rPr>
          <w:rFonts w:cs="Times New Roman"/>
          <w:sz w:val="24"/>
          <w:szCs w:val="24"/>
        </w:rPr>
        <w:t xml:space="preserve">lose more revenue through </w:t>
      </w:r>
      <w:r w:rsidR="001C04D2">
        <w:rPr>
          <w:rFonts w:cs="Times New Roman"/>
          <w:sz w:val="24"/>
          <w:szCs w:val="24"/>
        </w:rPr>
        <w:t>IFF</w:t>
      </w:r>
      <w:r w:rsidR="005D4AB8">
        <w:rPr>
          <w:rFonts w:cs="Times New Roman"/>
          <w:sz w:val="24"/>
          <w:szCs w:val="24"/>
        </w:rPr>
        <w:t xml:space="preserve"> than they receive in </w:t>
      </w:r>
      <w:r w:rsidR="00C266FD">
        <w:rPr>
          <w:rFonts w:cs="Times New Roman"/>
          <w:sz w:val="24"/>
          <w:szCs w:val="24"/>
        </w:rPr>
        <w:t>official development assistance (ODA)</w:t>
      </w:r>
      <w:r w:rsidR="005D4AB8">
        <w:rPr>
          <w:rFonts w:cs="Times New Roman"/>
          <w:sz w:val="24"/>
          <w:szCs w:val="24"/>
        </w:rPr>
        <w:t>.</w:t>
      </w:r>
      <w:r w:rsidR="000818BA">
        <w:rPr>
          <w:rFonts w:cs="Times New Roman"/>
          <w:sz w:val="24"/>
          <w:szCs w:val="24"/>
        </w:rPr>
        <w:t xml:space="preserve">  To reverse </w:t>
      </w:r>
      <w:r w:rsidR="000E615C">
        <w:rPr>
          <w:rFonts w:cs="Times New Roman"/>
          <w:sz w:val="24"/>
          <w:szCs w:val="24"/>
        </w:rPr>
        <w:t>these illicit flows and their negative impacts</w:t>
      </w:r>
      <w:r w:rsidR="000818BA">
        <w:rPr>
          <w:rFonts w:cs="Times New Roman"/>
          <w:sz w:val="24"/>
          <w:szCs w:val="24"/>
        </w:rPr>
        <w:t>, GFI</w:t>
      </w:r>
      <w:r w:rsidR="00DD2983">
        <w:rPr>
          <w:rFonts w:cs="Times New Roman"/>
          <w:sz w:val="24"/>
          <w:szCs w:val="24"/>
        </w:rPr>
        <w:t xml:space="preserve"> and others have recommended </w:t>
      </w:r>
      <w:r w:rsidR="00E147B7">
        <w:rPr>
          <w:rFonts w:cs="Times New Roman"/>
          <w:sz w:val="24"/>
          <w:szCs w:val="24"/>
        </w:rPr>
        <w:t xml:space="preserve">strengthening tax administration capacity to better detect tax evasion and reduce corruption, as well as </w:t>
      </w:r>
      <w:r w:rsidR="00DD2983">
        <w:rPr>
          <w:rFonts w:cs="Times New Roman"/>
          <w:sz w:val="24"/>
          <w:szCs w:val="24"/>
        </w:rPr>
        <w:t>the adoption of a suite of global financial transparency solutions, namely</w:t>
      </w:r>
      <w:r>
        <w:rPr>
          <w:rFonts w:cs="Times New Roman"/>
          <w:sz w:val="24"/>
          <w:szCs w:val="24"/>
        </w:rPr>
        <w:t>:</w:t>
      </w:r>
    </w:p>
    <w:p w:rsidR="00984EE4" w:rsidRDefault="00984EE4" w:rsidP="009E28EB">
      <w:pPr>
        <w:spacing w:after="0" w:line="240" w:lineRule="auto"/>
        <w:jc w:val="both"/>
        <w:rPr>
          <w:rFonts w:cs="Times New Roman"/>
          <w:sz w:val="24"/>
          <w:szCs w:val="24"/>
        </w:rPr>
      </w:pPr>
    </w:p>
    <w:p w:rsidR="00984EE4" w:rsidRPr="00CB67E2" w:rsidRDefault="00984EE4" w:rsidP="009E28EB">
      <w:pPr>
        <w:pStyle w:val="ListParagraph"/>
        <w:numPr>
          <w:ilvl w:val="0"/>
          <w:numId w:val="3"/>
        </w:numPr>
        <w:spacing w:after="0" w:line="240" w:lineRule="auto"/>
        <w:rPr>
          <w:rFonts w:cs="Times New Roman"/>
          <w:b/>
          <w:sz w:val="24"/>
          <w:szCs w:val="24"/>
        </w:rPr>
      </w:pPr>
      <w:r w:rsidRPr="00CB67E2">
        <w:rPr>
          <w:rFonts w:cs="Times New Roman"/>
          <w:b/>
          <w:sz w:val="24"/>
          <w:szCs w:val="24"/>
        </w:rPr>
        <w:t>mandatory</w:t>
      </w:r>
      <w:r w:rsidR="00DD2983" w:rsidRPr="00CB67E2">
        <w:rPr>
          <w:rFonts w:cs="Times New Roman"/>
          <w:b/>
          <w:sz w:val="24"/>
          <w:szCs w:val="24"/>
        </w:rPr>
        <w:t xml:space="preserve"> beneficial ownership disclosure </w:t>
      </w:r>
      <w:r w:rsidRPr="00CB67E2">
        <w:rPr>
          <w:rFonts w:cs="Times New Roman"/>
          <w:b/>
          <w:sz w:val="24"/>
          <w:szCs w:val="24"/>
        </w:rPr>
        <w:t>of all legal vehicles;</w:t>
      </w:r>
    </w:p>
    <w:p w:rsidR="00984EE4" w:rsidRPr="00CB67E2" w:rsidRDefault="00DD2983" w:rsidP="009E28EB">
      <w:pPr>
        <w:pStyle w:val="ListParagraph"/>
        <w:numPr>
          <w:ilvl w:val="0"/>
          <w:numId w:val="3"/>
        </w:numPr>
        <w:spacing w:after="0" w:line="240" w:lineRule="auto"/>
        <w:rPr>
          <w:rFonts w:cs="Times New Roman"/>
          <w:b/>
          <w:sz w:val="24"/>
          <w:szCs w:val="24"/>
        </w:rPr>
      </w:pPr>
      <w:r w:rsidRPr="00CB67E2">
        <w:rPr>
          <w:rFonts w:cs="Times New Roman"/>
          <w:b/>
          <w:sz w:val="24"/>
          <w:szCs w:val="24"/>
        </w:rPr>
        <w:t>country-by-country reporting by MNCs</w:t>
      </w:r>
      <w:r w:rsidR="00984EE4" w:rsidRPr="00CB67E2">
        <w:rPr>
          <w:rFonts w:cs="Times New Roman"/>
          <w:b/>
          <w:sz w:val="24"/>
          <w:szCs w:val="24"/>
        </w:rPr>
        <w:t xml:space="preserve">; </w:t>
      </w:r>
    </w:p>
    <w:p w:rsidR="00984EE4" w:rsidRPr="00CB67E2" w:rsidRDefault="00DD2983" w:rsidP="009E28EB">
      <w:pPr>
        <w:pStyle w:val="ListParagraph"/>
        <w:numPr>
          <w:ilvl w:val="0"/>
          <w:numId w:val="3"/>
        </w:numPr>
        <w:spacing w:after="0" w:line="240" w:lineRule="auto"/>
        <w:rPr>
          <w:rFonts w:cs="Times New Roman"/>
          <w:b/>
          <w:sz w:val="24"/>
          <w:szCs w:val="24"/>
        </w:rPr>
      </w:pPr>
      <w:r w:rsidRPr="00CB67E2">
        <w:rPr>
          <w:rFonts w:cs="Times New Roman"/>
          <w:b/>
          <w:sz w:val="24"/>
          <w:szCs w:val="24"/>
        </w:rPr>
        <w:t>automatic information exchange of information</w:t>
      </w:r>
      <w:r w:rsidR="00984EE4" w:rsidRPr="00CB67E2">
        <w:rPr>
          <w:rFonts w:cs="Times New Roman"/>
          <w:b/>
          <w:sz w:val="24"/>
          <w:szCs w:val="24"/>
        </w:rPr>
        <w:t xml:space="preserve">; and </w:t>
      </w:r>
    </w:p>
    <w:p w:rsidR="00984EE4" w:rsidRPr="00CB67E2" w:rsidRDefault="00C266FD" w:rsidP="009E28EB">
      <w:pPr>
        <w:pStyle w:val="ListParagraph"/>
        <w:numPr>
          <w:ilvl w:val="0"/>
          <w:numId w:val="3"/>
        </w:numPr>
        <w:spacing w:after="0" w:line="240" w:lineRule="auto"/>
        <w:rPr>
          <w:rFonts w:cs="Times New Roman"/>
          <w:b/>
          <w:sz w:val="24"/>
          <w:szCs w:val="24"/>
        </w:rPr>
      </w:pPr>
      <w:r>
        <w:rPr>
          <w:rFonts w:cs="Times New Roman"/>
          <w:b/>
          <w:sz w:val="24"/>
          <w:szCs w:val="24"/>
        </w:rPr>
        <w:t>s</w:t>
      </w:r>
      <w:r w:rsidR="00984EE4" w:rsidRPr="00CB67E2">
        <w:rPr>
          <w:rFonts w:cs="Times New Roman"/>
          <w:b/>
          <w:sz w:val="24"/>
          <w:szCs w:val="24"/>
        </w:rPr>
        <w:t>trengthened anti-money laundering legislation</w:t>
      </w:r>
      <w:r w:rsidR="00DD2983" w:rsidRPr="00CB67E2">
        <w:rPr>
          <w:rFonts w:cs="Times New Roman"/>
          <w:b/>
          <w:sz w:val="24"/>
          <w:szCs w:val="24"/>
        </w:rPr>
        <w:t xml:space="preserve">. </w:t>
      </w:r>
      <w:r w:rsidR="005D4AB8" w:rsidRPr="00CB67E2">
        <w:rPr>
          <w:rFonts w:cs="Times New Roman"/>
          <w:b/>
          <w:sz w:val="24"/>
          <w:szCs w:val="24"/>
        </w:rPr>
        <w:t xml:space="preserve">  </w:t>
      </w:r>
    </w:p>
    <w:p w:rsidR="00C47F5D" w:rsidRDefault="00C47F5D" w:rsidP="009E28EB">
      <w:pPr>
        <w:spacing w:after="0" w:line="240" w:lineRule="auto"/>
        <w:jc w:val="both"/>
        <w:rPr>
          <w:rFonts w:cs="Times New Roman"/>
          <w:sz w:val="24"/>
          <w:szCs w:val="24"/>
        </w:rPr>
      </w:pPr>
    </w:p>
    <w:p w:rsidR="00BE3087" w:rsidRDefault="00C47F5D" w:rsidP="00BE3087">
      <w:pPr>
        <w:spacing w:after="0" w:line="240" w:lineRule="auto"/>
        <w:jc w:val="both"/>
        <w:rPr>
          <w:rFonts w:cs="Times New Roman"/>
          <w:sz w:val="24"/>
          <w:szCs w:val="24"/>
        </w:rPr>
      </w:pPr>
      <w:r>
        <w:rPr>
          <w:rFonts w:cs="Times New Roman"/>
          <w:sz w:val="24"/>
          <w:szCs w:val="24"/>
        </w:rPr>
        <w:t xml:space="preserve">By the time illicit flows and tax justice concerns </w:t>
      </w:r>
      <w:r w:rsidR="00F32EA6">
        <w:rPr>
          <w:rFonts w:cs="Times New Roman"/>
          <w:sz w:val="24"/>
          <w:szCs w:val="24"/>
        </w:rPr>
        <w:t xml:space="preserve">began appearing </w:t>
      </w:r>
      <w:r>
        <w:rPr>
          <w:rFonts w:cs="Times New Roman"/>
          <w:sz w:val="24"/>
          <w:szCs w:val="24"/>
        </w:rPr>
        <w:t>on the global political agenda in 2012</w:t>
      </w:r>
      <w:r w:rsidRPr="00984EE4">
        <w:rPr>
          <w:rFonts w:cs="Times New Roman"/>
          <w:sz w:val="24"/>
          <w:szCs w:val="24"/>
        </w:rPr>
        <w:t xml:space="preserve">, more </w:t>
      </w:r>
      <w:r>
        <w:rPr>
          <w:rFonts w:cs="Times New Roman"/>
          <w:sz w:val="24"/>
          <w:szCs w:val="24"/>
        </w:rPr>
        <w:t>civil society groups</w:t>
      </w:r>
      <w:r w:rsidRPr="00984EE4">
        <w:rPr>
          <w:rFonts w:cs="Times New Roman"/>
          <w:sz w:val="24"/>
          <w:szCs w:val="24"/>
        </w:rPr>
        <w:t xml:space="preserve"> (e.g. Christian Aid, Action Aid, Oxfam UK and Novib</w:t>
      </w:r>
      <w:r>
        <w:rPr>
          <w:rFonts w:cs="Times New Roman"/>
          <w:sz w:val="24"/>
          <w:szCs w:val="24"/>
        </w:rPr>
        <w:t>, Jubilee South Asia Pacific Movement on Debt and Development</w:t>
      </w:r>
      <w:r w:rsidRPr="00984EE4">
        <w:rPr>
          <w:rFonts w:cs="Times New Roman"/>
          <w:sz w:val="24"/>
          <w:szCs w:val="24"/>
        </w:rPr>
        <w:t xml:space="preserve">) </w:t>
      </w:r>
      <w:r>
        <w:rPr>
          <w:rFonts w:cs="Times New Roman"/>
          <w:sz w:val="24"/>
          <w:szCs w:val="24"/>
        </w:rPr>
        <w:t>had begun to</w:t>
      </w:r>
      <w:r w:rsidRPr="00984EE4">
        <w:rPr>
          <w:rFonts w:cs="Times New Roman"/>
          <w:sz w:val="24"/>
          <w:szCs w:val="24"/>
        </w:rPr>
        <w:t xml:space="preserve"> </w:t>
      </w:r>
      <w:r>
        <w:rPr>
          <w:rFonts w:cs="Times New Roman"/>
          <w:sz w:val="24"/>
          <w:szCs w:val="24"/>
        </w:rPr>
        <w:t>focus</w:t>
      </w:r>
      <w:r w:rsidRPr="00984EE4">
        <w:rPr>
          <w:rFonts w:cs="Times New Roman"/>
          <w:sz w:val="24"/>
          <w:szCs w:val="24"/>
        </w:rPr>
        <w:t xml:space="preserve"> on taxation and IFF, </w:t>
      </w:r>
      <w:r>
        <w:rPr>
          <w:rFonts w:cs="Times New Roman"/>
          <w:sz w:val="24"/>
          <w:szCs w:val="24"/>
        </w:rPr>
        <w:t>forming a nascent</w:t>
      </w:r>
      <w:r w:rsidR="004A5486">
        <w:rPr>
          <w:rFonts w:cs="Times New Roman"/>
          <w:sz w:val="24"/>
          <w:szCs w:val="24"/>
        </w:rPr>
        <w:t>, largely disconnected and poorly funded</w:t>
      </w:r>
      <w:r>
        <w:rPr>
          <w:rFonts w:cs="Times New Roman"/>
          <w:sz w:val="24"/>
          <w:szCs w:val="24"/>
        </w:rPr>
        <w:t xml:space="preserve"> ‘tax justice movement.’  </w:t>
      </w:r>
      <w:r w:rsidR="00F32EA6">
        <w:rPr>
          <w:rFonts w:cs="Times New Roman"/>
          <w:sz w:val="24"/>
          <w:szCs w:val="24"/>
        </w:rPr>
        <w:t xml:space="preserve"> </w:t>
      </w:r>
      <w:r w:rsidR="00BE3087">
        <w:rPr>
          <w:rFonts w:cs="Times New Roman"/>
          <w:sz w:val="24"/>
          <w:szCs w:val="24"/>
        </w:rPr>
        <w:t xml:space="preserve">Global Witness had also been working on issues of money laundering and anonymous shell companies, particularly as they relate to the extractive industries, since the early 2000s, </w:t>
      </w:r>
      <w:r w:rsidR="00D24054">
        <w:rPr>
          <w:rFonts w:cs="Times New Roman"/>
          <w:sz w:val="24"/>
          <w:szCs w:val="24"/>
        </w:rPr>
        <w:t>and was well poised to take advantage of the new political momentum, increasingly in partnership with new peers more focused on tax justice concerns.</w:t>
      </w:r>
    </w:p>
    <w:p w:rsidR="00C47F5D" w:rsidRDefault="00C47F5D" w:rsidP="009E28EB">
      <w:pPr>
        <w:spacing w:after="0" w:line="240" w:lineRule="auto"/>
        <w:jc w:val="both"/>
        <w:rPr>
          <w:rFonts w:cs="Times New Roman"/>
          <w:sz w:val="24"/>
          <w:szCs w:val="24"/>
        </w:rPr>
      </w:pPr>
    </w:p>
    <w:p w:rsidR="00B950B0" w:rsidRDefault="00831586" w:rsidP="009E28EB">
      <w:pPr>
        <w:spacing w:after="0" w:line="240" w:lineRule="auto"/>
        <w:jc w:val="both"/>
        <w:rPr>
          <w:rFonts w:cs="Times New Roman"/>
          <w:sz w:val="24"/>
          <w:szCs w:val="24"/>
        </w:rPr>
      </w:pPr>
      <w:r>
        <w:rPr>
          <w:rFonts w:cs="Times New Roman"/>
          <w:sz w:val="24"/>
          <w:szCs w:val="24"/>
        </w:rPr>
        <w:t>By 2013, t</w:t>
      </w:r>
      <w:r w:rsidR="00E828C7" w:rsidRPr="00282955">
        <w:rPr>
          <w:rFonts w:cs="Times New Roman"/>
          <w:sz w:val="24"/>
          <w:szCs w:val="24"/>
        </w:rPr>
        <w:t xml:space="preserve">his </w:t>
      </w:r>
      <w:r>
        <w:rPr>
          <w:rFonts w:cs="Times New Roman"/>
          <w:sz w:val="24"/>
          <w:szCs w:val="24"/>
        </w:rPr>
        <w:t>growing</w:t>
      </w:r>
      <w:r w:rsidR="00E828C7" w:rsidRPr="00282955">
        <w:rPr>
          <w:rFonts w:cs="Times New Roman"/>
          <w:sz w:val="24"/>
          <w:szCs w:val="24"/>
        </w:rPr>
        <w:t xml:space="preserve"> </w:t>
      </w:r>
      <w:r w:rsidR="009C5F0B">
        <w:rPr>
          <w:rFonts w:cs="Times New Roman"/>
          <w:sz w:val="24"/>
          <w:szCs w:val="24"/>
        </w:rPr>
        <w:t xml:space="preserve">political </w:t>
      </w:r>
      <w:r w:rsidR="00E828C7" w:rsidRPr="00282955">
        <w:rPr>
          <w:rFonts w:cs="Times New Roman"/>
          <w:sz w:val="24"/>
          <w:szCs w:val="24"/>
        </w:rPr>
        <w:t xml:space="preserve">interest </w:t>
      </w:r>
      <w:r w:rsidR="008211E5">
        <w:rPr>
          <w:rFonts w:cs="Times New Roman"/>
          <w:sz w:val="24"/>
          <w:szCs w:val="24"/>
        </w:rPr>
        <w:t>and public disquiet over high profile</w:t>
      </w:r>
      <w:r w:rsidR="00D24054">
        <w:rPr>
          <w:rFonts w:cs="Times New Roman"/>
          <w:sz w:val="24"/>
          <w:szCs w:val="24"/>
        </w:rPr>
        <w:t xml:space="preserve"> tax avoidance scandals by MNCs</w:t>
      </w:r>
      <w:r w:rsidR="008211E5">
        <w:rPr>
          <w:rFonts w:cs="Times New Roman"/>
          <w:sz w:val="24"/>
          <w:szCs w:val="24"/>
        </w:rPr>
        <w:t xml:space="preserve"> </w:t>
      </w:r>
      <w:r w:rsidR="00CB67E2">
        <w:rPr>
          <w:rFonts w:cs="Times New Roman"/>
          <w:sz w:val="24"/>
          <w:szCs w:val="24"/>
        </w:rPr>
        <w:t xml:space="preserve">culminated </w:t>
      </w:r>
      <w:r w:rsidR="00E828C7" w:rsidRPr="00282955">
        <w:rPr>
          <w:rFonts w:cs="Times New Roman"/>
          <w:sz w:val="24"/>
          <w:szCs w:val="24"/>
        </w:rPr>
        <w:t xml:space="preserve">in the UK government’s decision to make </w:t>
      </w:r>
      <w:r w:rsidR="00B2723D">
        <w:rPr>
          <w:rFonts w:cs="Times New Roman"/>
          <w:sz w:val="24"/>
          <w:szCs w:val="24"/>
        </w:rPr>
        <w:t>IFF</w:t>
      </w:r>
      <w:r w:rsidR="00E828C7" w:rsidRPr="00282955">
        <w:rPr>
          <w:rFonts w:cs="Times New Roman"/>
          <w:sz w:val="24"/>
          <w:szCs w:val="24"/>
        </w:rPr>
        <w:t xml:space="preserve"> and tax a central theme of its 2013 G8 presidency, as well as in the European Parliament’s decision to introduce new Accounting and Anti-Money Laundering Directives.</w:t>
      </w:r>
      <w:r w:rsidR="008211E5">
        <w:rPr>
          <w:rFonts w:cs="Times New Roman"/>
          <w:sz w:val="24"/>
          <w:szCs w:val="24"/>
        </w:rPr>
        <w:t xml:space="preserve">  </w:t>
      </w:r>
      <w:r w:rsidR="00B748D9" w:rsidRPr="00282955">
        <w:rPr>
          <w:rFonts w:cs="Times New Roman"/>
          <w:sz w:val="24"/>
          <w:szCs w:val="24"/>
        </w:rPr>
        <w:t xml:space="preserve">The OECD itself was </w:t>
      </w:r>
      <w:r w:rsidR="00BE127A">
        <w:rPr>
          <w:rFonts w:cs="Times New Roman"/>
          <w:sz w:val="24"/>
          <w:szCs w:val="24"/>
        </w:rPr>
        <w:t>mandated by both the G8 and G20 to develop</w:t>
      </w:r>
      <w:r w:rsidR="00B748D9" w:rsidRPr="00282955">
        <w:rPr>
          <w:rFonts w:cs="Times New Roman"/>
          <w:sz w:val="24"/>
          <w:szCs w:val="24"/>
        </w:rPr>
        <w:t xml:space="preserve"> new work </w:t>
      </w:r>
      <w:r w:rsidR="00E219C1">
        <w:rPr>
          <w:rFonts w:cs="Times New Roman"/>
          <w:sz w:val="24"/>
          <w:szCs w:val="24"/>
        </w:rPr>
        <w:t xml:space="preserve">streams reviewing </w:t>
      </w:r>
      <w:r w:rsidR="00A2005B">
        <w:rPr>
          <w:rFonts w:cs="Times New Roman"/>
          <w:sz w:val="24"/>
          <w:szCs w:val="24"/>
        </w:rPr>
        <w:t xml:space="preserve">current </w:t>
      </w:r>
      <w:r w:rsidR="00E219C1">
        <w:rPr>
          <w:rFonts w:cs="Times New Roman"/>
          <w:sz w:val="24"/>
          <w:szCs w:val="24"/>
        </w:rPr>
        <w:t xml:space="preserve">international tax </w:t>
      </w:r>
      <w:r w:rsidR="00A2005B">
        <w:rPr>
          <w:rFonts w:cs="Times New Roman"/>
          <w:sz w:val="24"/>
          <w:szCs w:val="24"/>
        </w:rPr>
        <w:t>arrangements</w:t>
      </w:r>
      <w:r w:rsidR="00E219C1">
        <w:rPr>
          <w:rFonts w:cs="Times New Roman"/>
          <w:sz w:val="24"/>
          <w:szCs w:val="24"/>
        </w:rPr>
        <w:t xml:space="preserve"> in order to </w:t>
      </w:r>
      <w:r w:rsidR="00BE127A">
        <w:rPr>
          <w:rFonts w:cs="Times New Roman"/>
          <w:sz w:val="24"/>
          <w:szCs w:val="24"/>
        </w:rPr>
        <w:t xml:space="preserve">better </w:t>
      </w:r>
      <w:r w:rsidR="00E219C1">
        <w:rPr>
          <w:rFonts w:cs="Times New Roman"/>
          <w:sz w:val="24"/>
          <w:szCs w:val="24"/>
        </w:rPr>
        <w:t xml:space="preserve">address base erosion and profit shifting </w:t>
      </w:r>
      <w:r w:rsidR="00E219C1" w:rsidRPr="00282955">
        <w:rPr>
          <w:rFonts w:cs="Times New Roman"/>
          <w:sz w:val="24"/>
          <w:szCs w:val="24"/>
        </w:rPr>
        <w:t>(</w:t>
      </w:r>
      <w:r w:rsidR="00E219C1">
        <w:rPr>
          <w:rFonts w:cs="Times New Roman"/>
          <w:sz w:val="24"/>
          <w:szCs w:val="24"/>
        </w:rPr>
        <w:t>BEPS)</w:t>
      </w:r>
      <w:r w:rsidR="00BE127A">
        <w:rPr>
          <w:rFonts w:cs="Times New Roman"/>
          <w:sz w:val="24"/>
          <w:szCs w:val="24"/>
        </w:rPr>
        <w:t xml:space="preserve"> practices</w:t>
      </w:r>
      <w:r w:rsidR="00D42E3A">
        <w:rPr>
          <w:rFonts w:cs="Times New Roman"/>
          <w:sz w:val="24"/>
          <w:szCs w:val="24"/>
        </w:rPr>
        <w:t xml:space="preserve"> by MNCs</w:t>
      </w:r>
      <w:r w:rsidR="00E219C1">
        <w:rPr>
          <w:rFonts w:cs="Times New Roman"/>
          <w:sz w:val="24"/>
          <w:szCs w:val="24"/>
        </w:rPr>
        <w:t xml:space="preserve">.  </w:t>
      </w:r>
      <w:r w:rsidR="00DC7C9E">
        <w:rPr>
          <w:rFonts w:cs="Times New Roman"/>
          <w:sz w:val="24"/>
          <w:szCs w:val="24"/>
        </w:rPr>
        <w:t>Additionally,</w:t>
      </w:r>
      <w:r w:rsidR="00D24054">
        <w:rPr>
          <w:rFonts w:cs="Times New Roman"/>
          <w:sz w:val="24"/>
          <w:szCs w:val="24"/>
        </w:rPr>
        <w:t xml:space="preserve"> around this time</w:t>
      </w:r>
      <w:r w:rsidR="00DC7C9E">
        <w:rPr>
          <w:rFonts w:cs="Times New Roman"/>
          <w:sz w:val="24"/>
          <w:szCs w:val="24"/>
        </w:rPr>
        <w:t xml:space="preserve"> </w:t>
      </w:r>
      <w:r w:rsidR="00D42E3A">
        <w:rPr>
          <w:rFonts w:cs="Times New Roman"/>
          <w:sz w:val="24"/>
          <w:szCs w:val="24"/>
        </w:rPr>
        <w:t xml:space="preserve">through its Task Force on Tax and Development </w:t>
      </w:r>
      <w:r w:rsidR="0097365C">
        <w:rPr>
          <w:rFonts w:cs="Times New Roman"/>
          <w:sz w:val="24"/>
          <w:szCs w:val="24"/>
        </w:rPr>
        <w:t>program</w:t>
      </w:r>
      <w:r w:rsidR="00D42E3A">
        <w:rPr>
          <w:rFonts w:cs="Times New Roman"/>
          <w:sz w:val="24"/>
          <w:szCs w:val="24"/>
        </w:rPr>
        <w:t xml:space="preserve">, the </w:t>
      </w:r>
      <w:r w:rsidR="0043666F">
        <w:rPr>
          <w:rFonts w:cs="Times New Roman"/>
          <w:sz w:val="24"/>
          <w:szCs w:val="24"/>
        </w:rPr>
        <w:t xml:space="preserve">OECD </w:t>
      </w:r>
      <w:r w:rsidR="00D24054">
        <w:rPr>
          <w:rFonts w:cs="Times New Roman"/>
          <w:sz w:val="24"/>
          <w:szCs w:val="24"/>
        </w:rPr>
        <w:t>sought to</w:t>
      </w:r>
      <w:r w:rsidR="009C5F0B">
        <w:rPr>
          <w:rFonts w:cs="Times New Roman"/>
          <w:sz w:val="24"/>
          <w:szCs w:val="24"/>
        </w:rPr>
        <w:t xml:space="preserve"> to deepen</w:t>
      </w:r>
      <w:r w:rsidR="0097365C">
        <w:rPr>
          <w:rFonts w:cs="Times New Roman"/>
          <w:sz w:val="24"/>
          <w:szCs w:val="24"/>
        </w:rPr>
        <w:t xml:space="preserve"> its</w:t>
      </w:r>
      <w:r w:rsidR="0043666F">
        <w:rPr>
          <w:rFonts w:cs="Times New Roman"/>
          <w:sz w:val="24"/>
          <w:szCs w:val="24"/>
        </w:rPr>
        <w:t xml:space="preserve"> </w:t>
      </w:r>
      <w:r w:rsidR="00D42E3A" w:rsidRPr="00282955">
        <w:rPr>
          <w:rFonts w:cs="Times New Roman"/>
          <w:sz w:val="24"/>
          <w:szCs w:val="24"/>
        </w:rPr>
        <w:t xml:space="preserve">technical assistance </w:t>
      </w:r>
      <w:r w:rsidR="007A2145">
        <w:rPr>
          <w:rFonts w:cs="Times New Roman"/>
          <w:sz w:val="24"/>
          <w:szCs w:val="24"/>
        </w:rPr>
        <w:t>to</w:t>
      </w:r>
      <w:r w:rsidR="00B748D9" w:rsidRPr="00282955">
        <w:rPr>
          <w:rFonts w:cs="Times New Roman"/>
          <w:sz w:val="24"/>
          <w:szCs w:val="24"/>
        </w:rPr>
        <w:t xml:space="preserve"> developing countries </w:t>
      </w:r>
      <w:r w:rsidR="007A2145">
        <w:rPr>
          <w:rFonts w:cs="Times New Roman"/>
          <w:sz w:val="24"/>
          <w:szCs w:val="24"/>
        </w:rPr>
        <w:t xml:space="preserve">through initiatives </w:t>
      </w:r>
      <w:r w:rsidR="00B748D9" w:rsidRPr="00282955">
        <w:rPr>
          <w:rFonts w:cs="Times New Roman"/>
          <w:sz w:val="24"/>
          <w:szCs w:val="24"/>
        </w:rPr>
        <w:lastRenderedPageBreak/>
        <w:t xml:space="preserve">such as </w:t>
      </w:r>
      <w:r w:rsidR="00BE127A">
        <w:rPr>
          <w:rFonts w:cs="Times New Roman"/>
          <w:sz w:val="24"/>
          <w:szCs w:val="24"/>
        </w:rPr>
        <w:t xml:space="preserve">the </w:t>
      </w:r>
      <w:r w:rsidR="0097365C">
        <w:rPr>
          <w:rFonts w:cs="Times New Roman"/>
          <w:sz w:val="24"/>
          <w:szCs w:val="24"/>
        </w:rPr>
        <w:t xml:space="preserve">Tax Inspectors </w:t>
      </w:r>
      <w:r w:rsidR="007A2145">
        <w:rPr>
          <w:rFonts w:cs="Times New Roman"/>
          <w:sz w:val="24"/>
          <w:szCs w:val="24"/>
        </w:rPr>
        <w:t>without</w:t>
      </w:r>
      <w:r w:rsidR="0097365C">
        <w:rPr>
          <w:rFonts w:cs="Times New Roman"/>
          <w:sz w:val="24"/>
          <w:szCs w:val="24"/>
        </w:rPr>
        <w:t xml:space="preserve"> Borders (TI</w:t>
      </w:r>
      <w:r w:rsidR="00B748D9" w:rsidRPr="00282955">
        <w:rPr>
          <w:rFonts w:cs="Times New Roman"/>
          <w:sz w:val="24"/>
          <w:szCs w:val="24"/>
        </w:rPr>
        <w:t>WB)</w:t>
      </w:r>
      <w:r w:rsidR="0097365C">
        <w:rPr>
          <w:rFonts w:cs="Times New Roman"/>
          <w:sz w:val="24"/>
          <w:szCs w:val="24"/>
        </w:rPr>
        <w:t xml:space="preserve"> pilot scheme</w:t>
      </w:r>
      <w:r w:rsidR="007A2145">
        <w:rPr>
          <w:rFonts w:cs="Times New Roman"/>
          <w:sz w:val="24"/>
          <w:szCs w:val="24"/>
        </w:rPr>
        <w:t xml:space="preserve"> and Transfer Pricing Capacity Building Program, in partnership with the European Commission and the World Bank</w:t>
      </w:r>
      <w:r w:rsidR="00B748D9" w:rsidRPr="00282955">
        <w:rPr>
          <w:rFonts w:cs="Times New Roman"/>
          <w:sz w:val="24"/>
          <w:szCs w:val="24"/>
        </w:rPr>
        <w:t>.</w:t>
      </w:r>
      <w:r w:rsidR="00705A54">
        <w:rPr>
          <w:rStyle w:val="FootnoteReference"/>
          <w:rFonts w:cs="Times New Roman"/>
          <w:sz w:val="24"/>
          <w:szCs w:val="24"/>
        </w:rPr>
        <w:footnoteReference w:id="1"/>
      </w:r>
      <w:r w:rsidR="00B748D9" w:rsidRPr="00282955">
        <w:rPr>
          <w:rFonts w:cs="Times New Roman"/>
          <w:sz w:val="24"/>
          <w:szCs w:val="24"/>
        </w:rPr>
        <w:t xml:space="preserve"> </w:t>
      </w:r>
    </w:p>
    <w:p w:rsidR="00B950B0" w:rsidRDefault="00B950B0" w:rsidP="009E28EB">
      <w:pPr>
        <w:spacing w:after="0" w:line="240" w:lineRule="auto"/>
        <w:jc w:val="both"/>
        <w:rPr>
          <w:rFonts w:cs="Times New Roman"/>
          <w:sz w:val="24"/>
          <w:szCs w:val="24"/>
        </w:rPr>
      </w:pPr>
    </w:p>
    <w:p w:rsidR="000773AB" w:rsidRDefault="00B748D9" w:rsidP="009E28EB">
      <w:pPr>
        <w:spacing w:after="0" w:line="240" w:lineRule="auto"/>
        <w:jc w:val="both"/>
        <w:rPr>
          <w:rFonts w:cs="Times New Roman"/>
          <w:sz w:val="24"/>
          <w:szCs w:val="24"/>
        </w:rPr>
      </w:pPr>
      <w:r w:rsidRPr="00282955">
        <w:rPr>
          <w:rFonts w:cs="Times New Roman"/>
          <w:sz w:val="24"/>
          <w:szCs w:val="24"/>
        </w:rPr>
        <w:t xml:space="preserve">At the same time, low income countries—particularly in Africa—began to demonstrate </w:t>
      </w:r>
      <w:r w:rsidR="00702B58">
        <w:rPr>
          <w:rFonts w:cs="Times New Roman"/>
          <w:sz w:val="24"/>
          <w:szCs w:val="24"/>
        </w:rPr>
        <w:t>re</w:t>
      </w:r>
      <w:r w:rsidRPr="00282955">
        <w:rPr>
          <w:rFonts w:cs="Times New Roman"/>
          <w:sz w:val="24"/>
          <w:szCs w:val="24"/>
        </w:rPr>
        <w:t>new</w:t>
      </w:r>
      <w:r w:rsidR="00702B58">
        <w:rPr>
          <w:rFonts w:cs="Times New Roman"/>
          <w:sz w:val="24"/>
          <w:szCs w:val="24"/>
        </w:rPr>
        <w:t>ed</w:t>
      </w:r>
      <w:r w:rsidRPr="00282955">
        <w:rPr>
          <w:rFonts w:cs="Times New Roman"/>
          <w:sz w:val="24"/>
          <w:szCs w:val="24"/>
        </w:rPr>
        <w:t xml:space="preserve"> interest in </w:t>
      </w:r>
      <w:r w:rsidR="009C5F0B">
        <w:rPr>
          <w:rFonts w:cs="Times New Roman"/>
          <w:sz w:val="24"/>
          <w:szCs w:val="24"/>
        </w:rPr>
        <w:t xml:space="preserve">assessing the effectiveness of their tax regimes as well as </w:t>
      </w:r>
      <w:r w:rsidRPr="00282955">
        <w:rPr>
          <w:rFonts w:cs="Times New Roman"/>
          <w:sz w:val="24"/>
          <w:szCs w:val="24"/>
        </w:rPr>
        <w:t xml:space="preserve">addressing the development and governance costs and consequences of </w:t>
      </w:r>
      <w:r w:rsidR="007A2145">
        <w:rPr>
          <w:rFonts w:cs="Times New Roman"/>
          <w:sz w:val="24"/>
          <w:szCs w:val="24"/>
        </w:rPr>
        <w:t>IFF</w:t>
      </w:r>
      <w:r w:rsidR="00D21E88">
        <w:rPr>
          <w:rFonts w:cs="Times New Roman"/>
          <w:sz w:val="24"/>
          <w:szCs w:val="24"/>
        </w:rPr>
        <w:t xml:space="preserve">.  </w:t>
      </w:r>
      <w:r w:rsidR="00F17D9C">
        <w:rPr>
          <w:rFonts w:cs="Times New Roman"/>
          <w:sz w:val="24"/>
          <w:szCs w:val="24"/>
        </w:rPr>
        <w:t>For example, t</w:t>
      </w:r>
      <w:r w:rsidR="00D21E88">
        <w:rPr>
          <w:rFonts w:cs="Times New Roman"/>
          <w:sz w:val="24"/>
          <w:szCs w:val="24"/>
        </w:rPr>
        <w:t>he African Tax Administration Forum</w:t>
      </w:r>
      <w:r w:rsidR="00500AED">
        <w:rPr>
          <w:rFonts w:cs="Times New Roman"/>
          <w:sz w:val="24"/>
          <w:szCs w:val="24"/>
        </w:rPr>
        <w:t>,</w:t>
      </w:r>
      <w:r w:rsidR="00D21E88">
        <w:rPr>
          <w:rFonts w:cs="Times New Roman"/>
          <w:sz w:val="24"/>
          <w:szCs w:val="24"/>
        </w:rPr>
        <w:t xml:space="preserve"> </w:t>
      </w:r>
      <w:r w:rsidR="00500AED">
        <w:rPr>
          <w:rFonts w:cs="Times New Roman"/>
          <w:sz w:val="24"/>
          <w:szCs w:val="24"/>
        </w:rPr>
        <w:t xml:space="preserve">borne of a meeting on “Taxation, State Building, and Capacity Development in Africa,” </w:t>
      </w:r>
      <w:r w:rsidR="00D21E88">
        <w:rPr>
          <w:rFonts w:cs="Times New Roman"/>
          <w:sz w:val="24"/>
          <w:szCs w:val="24"/>
        </w:rPr>
        <w:t>was established in 2009</w:t>
      </w:r>
      <w:r w:rsidR="00F17D9C">
        <w:rPr>
          <w:rFonts w:cs="Times New Roman"/>
          <w:sz w:val="24"/>
          <w:szCs w:val="24"/>
        </w:rPr>
        <w:t xml:space="preserve"> to foster mutual cooperation amongst African tax administrators and relevant stakeholders to improve tax laws and administration.  In addition</w:t>
      </w:r>
      <w:r w:rsidR="00436617">
        <w:rPr>
          <w:rFonts w:cs="Times New Roman"/>
          <w:sz w:val="24"/>
          <w:szCs w:val="24"/>
        </w:rPr>
        <w:t>, t</w:t>
      </w:r>
      <w:r w:rsidR="009B21CB">
        <w:rPr>
          <w:rFonts w:cs="Times New Roman"/>
          <w:sz w:val="24"/>
          <w:szCs w:val="24"/>
        </w:rPr>
        <w:t xml:space="preserve">he </w:t>
      </w:r>
      <w:r w:rsidR="00436617">
        <w:rPr>
          <w:rFonts w:cs="Times New Roman"/>
          <w:sz w:val="24"/>
          <w:szCs w:val="24"/>
        </w:rPr>
        <w:t>2010</w:t>
      </w:r>
      <w:r w:rsidR="00702B58">
        <w:rPr>
          <w:rFonts w:cs="Times New Roman"/>
          <w:sz w:val="24"/>
          <w:szCs w:val="24"/>
        </w:rPr>
        <w:t xml:space="preserve"> </w:t>
      </w:r>
      <w:r w:rsidR="00436617">
        <w:rPr>
          <w:rFonts w:cs="Times New Roman"/>
          <w:sz w:val="24"/>
          <w:szCs w:val="24"/>
        </w:rPr>
        <w:t xml:space="preserve">edition of </w:t>
      </w:r>
      <w:r w:rsidR="00702B58">
        <w:rPr>
          <w:rFonts w:cs="Times New Roman"/>
          <w:sz w:val="24"/>
          <w:szCs w:val="24"/>
        </w:rPr>
        <w:t>Africa Economic Outlook focused on public resource mobilization and aid</w:t>
      </w:r>
      <w:r w:rsidR="00436617">
        <w:rPr>
          <w:rFonts w:cs="Times New Roman"/>
          <w:sz w:val="24"/>
          <w:szCs w:val="24"/>
        </w:rPr>
        <w:t xml:space="preserve">, which the </w:t>
      </w:r>
      <w:r w:rsidR="009B21CB">
        <w:rPr>
          <w:rFonts w:cs="Times New Roman"/>
          <w:sz w:val="24"/>
          <w:szCs w:val="24"/>
        </w:rPr>
        <w:t xml:space="preserve">African Development Bank </w:t>
      </w:r>
      <w:r w:rsidR="00436617">
        <w:rPr>
          <w:rFonts w:cs="Times New Roman"/>
          <w:sz w:val="24"/>
          <w:szCs w:val="24"/>
        </w:rPr>
        <w:t xml:space="preserve">followed up with </w:t>
      </w:r>
      <w:r w:rsidR="008211E5">
        <w:rPr>
          <w:rFonts w:cs="Times New Roman"/>
          <w:sz w:val="24"/>
          <w:szCs w:val="24"/>
        </w:rPr>
        <w:t>a regional review of East African tax systems</w:t>
      </w:r>
      <w:r w:rsidR="00C266FD">
        <w:rPr>
          <w:rFonts w:cs="Times New Roman"/>
          <w:sz w:val="24"/>
          <w:szCs w:val="24"/>
        </w:rPr>
        <w:t xml:space="preserve"> in 2011</w:t>
      </w:r>
      <w:r w:rsidR="00F534EB">
        <w:rPr>
          <w:rFonts w:cs="Times New Roman"/>
          <w:sz w:val="24"/>
          <w:szCs w:val="24"/>
        </w:rPr>
        <w:t>.  In that same year, the 3</w:t>
      </w:r>
      <w:r w:rsidR="00F534EB" w:rsidRPr="00F534EB">
        <w:rPr>
          <w:rFonts w:cs="Times New Roman"/>
          <w:sz w:val="24"/>
          <w:szCs w:val="24"/>
          <w:vertAlign w:val="superscript"/>
        </w:rPr>
        <w:t>rd</w:t>
      </w:r>
      <w:r w:rsidR="00F534EB">
        <w:rPr>
          <w:rFonts w:cs="Times New Roman"/>
          <w:sz w:val="24"/>
          <w:szCs w:val="24"/>
        </w:rPr>
        <w:t xml:space="preserve"> Joint Annual Meetings of the AU/ECA Conference of Ministers of Finance, Planning, and Economic Development held a panel discussion on IFF and </w:t>
      </w:r>
      <w:r w:rsidR="00AA1134">
        <w:rPr>
          <w:rFonts w:cs="Times New Roman"/>
          <w:sz w:val="24"/>
          <w:szCs w:val="24"/>
        </w:rPr>
        <w:t>subsequently mandated the establishment of t</w:t>
      </w:r>
      <w:r w:rsidR="008211E5">
        <w:rPr>
          <w:rFonts w:cs="Times New Roman"/>
          <w:sz w:val="24"/>
          <w:szCs w:val="24"/>
        </w:rPr>
        <w:t xml:space="preserve">he </w:t>
      </w:r>
      <w:r w:rsidR="00CD213F" w:rsidRPr="00282955">
        <w:rPr>
          <w:rFonts w:cs="Times New Roman"/>
          <w:sz w:val="24"/>
          <w:szCs w:val="24"/>
        </w:rPr>
        <w:t>UN High Level Panel on Illicit Financial Flows from Africa (or the “</w:t>
      </w:r>
      <w:r w:rsidRPr="00282955">
        <w:rPr>
          <w:rFonts w:cs="Times New Roman"/>
          <w:sz w:val="24"/>
          <w:szCs w:val="24"/>
        </w:rPr>
        <w:t>Mbeki</w:t>
      </w:r>
      <w:r w:rsidR="00CD213F" w:rsidRPr="00282955">
        <w:rPr>
          <w:rFonts w:cs="Times New Roman"/>
          <w:sz w:val="24"/>
          <w:szCs w:val="24"/>
        </w:rPr>
        <w:t xml:space="preserve"> Panel”)</w:t>
      </w:r>
      <w:r w:rsidR="00405865">
        <w:rPr>
          <w:rFonts w:cs="Times New Roman"/>
          <w:sz w:val="24"/>
          <w:szCs w:val="24"/>
        </w:rPr>
        <w:t xml:space="preserve">.  The </w:t>
      </w:r>
      <w:r w:rsidR="00E147B7">
        <w:rPr>
          <w:rFonts w:cs="Times New Roman"/>
          <w:sz w:val="24"/>
          <w:szCs w:val="24"/>
        </w:rPr>
        <w:t xml:space="preserve">final report </w:t>
      </w:r>
      <w:r w:rsidR="00405865">
        <w:rPr>
          <w:rFonts w:cs="Times New Roman"/>
          <w:sz w:val="24"/>
          <w:szCs w:val="24"/>
        </w:rPr>
        <w:t xml:space="preserve">of the Mbeki Panel </w:t>
      </w:r>
      <w:r w:rsidR="00E147B7">
        <w:rPr>
          <w:rFonts w:cs="Times New Roman"/>
          <w:sz w:val="24"/>
          <w:szCs w:val="24"/>
        </w:rPr>
        <w:t>will be present</w:t>
      </w:r>
      <w:r w:rsidR="00405865">
        <w:rPr>
          <w:rFonts w:cs="Times New Roman"/>
          <w:sz w:val="24"/>
          <w:szCs w:val="24"/>
        </w:rPr>
        <w:t xml:space="preserve">ed at the Heads of State Summit in Addis </w:t>
      </w:r>
      <w:r w:rsidR="00F17D9C">
        <w:rPr>
          <w:rFonts w:cs="Times New Roman"/>
          <w:sz w:val="24"/>
          <w:szCs w:val="24"/>
        </w:rPr>
        <w:t xml:space="preserve">Ababa </w:t>
      </w:r>
      <w:r w:rsidR="00E147B7">
        <w:rPr>
          <w:rFonts w:cs="Times New Roman"/>
          <w:sz w:val="24"/>
          <w:szCs w:val="24"/>
        </w:rPr>
        <w:t>in January 2015</w:t>
      </w:r>
      <w:r w:rsidR="00405865">
        <w:rPr>
          <w:rFonts w:cs="Times New Roman"/>
          <w:sz w:val="24"/>
          <w:szCs w:val="24"/>
        </w:rPr>
        <w:t xml:space="preserve">.  </w:t>
      </w:r>
      <w:r w:rsidR="00BF4CAA">
        <w:rPr>
          <w:rFonts w:cs="Times New Roman"/>
          <w:sz w:val="24"/>
          <w:szCs w:val="24"/>
        </w:rPr>
        <w:t xml:space="preserve">In 2013, </w:t>
      </w:r>
      <w:r w:rsidR="00D24054">
        <w:rPr>
          <w:rFonts w:cs="Times New Roman"/>
          <w:sz w:val="24"/>
          <w:szCs w:val="24"/>
        </w:rPr>
        <w:t xml:space="preserve">a </w:t>
      </w:r>
      <w:r w:rsidR="00E147B7">
        <w:rPr>
          <w:rFonts w:cs="Times New Roman"/>
          <w:sz w:val="24"/>
          <w:szCs w:val="24"/>
        </w:rPr>
        <w:t xml:space="preserve">joint study of the </w:t>
      </w:r>
      <w:r w:rsidR="00BF4CAA">
        <w:rPr>
          <w:rFonts w:cs="Times New Roman"/>
          <w:sz w:val="24"/>
          <w:szCs w:val="24"/>
        </w:rPr>
        <w:t xml:space="preserve">African Development Bank </w:t>
      </w:r>
      <w:r w:rsidR="00E147B7">
        <w:rPr>
          <w:rFonts w:cs="Times New Roman"/>
          <w:sz w:val="24"/>
          <w:szCs w:val="24"/>
        </w:rPr>
        <w:t>and</w:t>
      </w:r>
      <w:r w:rsidR="00BF4CAA">
        <w:rPr>
          <w:rFonts w:cs="Times New Roman"/>
          <w:sz w:val="24"/>
          <w:szCs w:val="24"/>
        </w:rPr>
        <w:t xml:space="preserve"> GFI on IFF and net resource transfers from Africa, </w:t>
      </w:r>
      <w:r w:rsidR="00E147B7">
        <w:rPr>
          <w:rFonts w:cs="Times New Roman"/>
          <w:sz w:val="24"/>
          <w:szCs w:val="24"/>
        </w:rPr>
        <w:t>and</w:t>
      </w:r>
      <w:r w:rsidR="00134BA8" w:rsidRPr="00282955">
        <w:rPr>
          <w:rFonts w:cs="Times New Roman"/>
          <w:sz w:val="24"/>
          <w:szCs w:val="24"/>
        </w:rPr>
        <w:t xml:space="preserve"> the</w:t>
      </w:r>
      <w:r w:rsidR="00CD213F" w:rsidRPr="00282955">
        <w:rPr>
          <w:rFonts w:cs="Times New Roman"/>
          <w:sz w:val="24"/>
          <w:szCs w:val="24"/>
        </w:rPr>
        <w:t xml:space="preserve"> Africa Progress Panel</w:t>
      </w:r>
      <w:r w:rsidR="00BF4CAA">
        <w:rPr>
          <w:rFonts w:cs="Times New Roman"/>
          <w:sz w:val="24"/>
          <w:szCs w:val="24"/>
        </w:rPr>
        <w:t xml:space="preserve"> Report on Equity i</w:t>
      </w:r>
      <w:r w:rsidR="00E147B7">
        <w:rPr>
          <w:rFonts w:cs="Times New Roman"/>
          <w:sz w:val="24"/>
          <w:szCs w:val="24"/>
        </w:rPr>
        <w:t>n</w:t>
      </w:r>
      <w:r w:rsidR="00BF4CAA">
        <w:rPr>
          <w:rFonts w:cs="Times New Roman"/>
          <w:sz w:val="24"/>
          <w:szCs w:val="24"/>
        </w:rPr>
        <w:t xml:space="preserve"> Extractives</w:t>
      </w:r>
      <w:r w:rsidR="00D24054">
        <w:rPr>
          <w:rFonts w:cs="Times New Roman"/>
          <w:sz w:val="24"/>
          <w:szCs w:val="24"/>
        </w:rPr>
        <w:t>, both</w:t>
      </w:r>
      <w:r w:rsidR="00BF4CAA">
        <w:rPr>
          <w:rFonts w:cs="Times New Roman"/>
          <w:sz w:val="24"/>
          <w:szCs w:val="24"/>
        </w:rPr>
        <w:t xml:space="preserve"> </w:t>
      </w:r>
      <w:r w:rsidR="00405865">
        <w:rPr>
          <w:rFonts w:cs="Times New Roman"/>
          <w:sz w:val="24"/>
          <w:szCs w:val="24"/>
        </w:rPr>
        <w:t>reiterated</w:t>
      </w:r>
      <w:r w:rsidR="00E147B7">
        <w:rPr>
          <w:rFonts w:cs="Times New Roman"/>
          <w:sz w:val="24"/>
          <w:szCs w:val="24"/>
        </w:rPr>
        <w:t xml:space="preserve"> the need to strengthen tax administrative capacity to </w:t>
      </w:r>
      <w:r w:rsidR="00566A9D">
        <w:rPr>
          <w:rFonts w:cs="Times New Roman"/>
          <w:sz w:val="24"/>
          <w:szCs w:val="24"/>
        </w:rPr>
        <w:t>bet</w:t>
      </w:r>
      <w:r w:rsidR="00E147B7">
        <w:rPr>
          <w:rFonts w:cs="Times New Roman"/>
          <w:sz w:val="24"/>
          <w:szCs w:val="24"/>
        </w:rPr>
        <w:t xml:space="preserve">ter detect tax evasion, </w:t>
      </w:r>
      <w:r w:rsidR="00566A9D">
        <w:rPr>
          <w:rFonts w:cs="Times New Roman"/>
          <w:sz w:val="24"/>
          <w:szCs w:val="24"/>
        </w:rPr>
        <w:t>improve</w:t>
      </w:r>
      <w:r w:rsidR="00E147B7">
        <w:rPr>
          <w:rFonts w:cs="Times New Roman"/>
          <w:sz w:val="24"/>
          <w:szCs w:val="24"/>
        </w:rPr>
        <w:t xml:space="preserve"> tax policy </w:t>
      </w:r>
      <w:r w:rsidR="00566A9D">
        <w:rPr>
          <w:rFonts w:cs="Times New Roman"/>
          <w:sz w:val="24"/>
          <w:szCs w:val="24"/>
        </w:rPr>
        <w:t>(e.g. impose capital gains and windfall taxes, develop alternative transfer pricing rules), and increase transparency through mandatory disclosure of beneficial ownership and strengthened banking regulations.</w:t>
      </w:r>
      <w:r w:rsidR="00D24054">
        <w:rPr>
          <w:rFonts w:cs="Times New Roman"/>
          <w:sz w:val="24"/>
          <w:szCs w:val="24"/>
        </w:rPr>
        <w:t xml:space="preserve"> </w:t>
      </w:r>
    </w:p>
    <w:p w:rsidR="000773AB" w:rsidRDefault="000773AB" w:rsidP="009E28EB">
      <w:pPr>
        <w:spacing w:after="0" w:line="240" w:lineRule="auto"/>
        <w:jc w:val="both"/>
        <w:rPr>
          <w:rFonts w:cs="Times New Roman"/>
          <w:sz w:val="24"/>
          <w:szCs w:val="24"/>
        </w:rPr>
      </w:pPr>
    </w:p>
    <w:p w:rsidR="004C0F1C" w:rsidRDefault="00D24054" w:rsidP="009E28EB">
      <w:pPr>
        <w:spacing w:after="0" w:line="240" w:lineRule="auto"/>
        <w:jc w:val="both"/>
        <w:rPr>
          <w:rFonts w:cs="Times New Roman"/>
          <w:sz w:val="24"/>
          <w:szCs w:val="24"/>
        </w:rPr>
      </w:pPr>
      <w:r>
        <w:rPr>
          <w:rFonts w:cs="Times New Roman"/>
          <w:sz w:val="24"/>
          <w:szCs w:val="24"/>
        </w:rPr>
        <w:t>In short, the past few years hav</w:t>
      </w:r>
      <w:r w:rsidR="00F056BF">
        <w:rPr>
          <w:rFonts w:cs="Times New Roman"/>
          <w:sz w:val="24"/>
          <w:szCs w:val="24"/>
        </w:rPr>
        <w:t>e seen more political momentum in high and low income countries around</w:t>
      </w:r>
      <w:r w:rsidR="000773AB">
        <w:rPr>
          <w:rFonts w:cs="Times New Roman"/>
          <w:sz w:val="24"/>
          <w:szCs w:val="24"/>
        </w:rPr>
        <w:t xml:space="preserve"> addressing</w:t>
      </w:r>
      <w:r w:rsidR="00F056BF">
        <w:rPr>
          <w:rFonts w:cs="Times New Roman"/>
          <w:sz w:val="24"/>
          <w:szCs w:val="24"/>
        </w:rPr>
        <w:t xml:space="preserve"> illicit flows and tax then th</w:t>
      </w:r>
      <w:r w:rsidR="000773AB">
        <w:rPr>
          <w:rFonts w:cs="Times New Roman"/>
          <w:sz w:val="24"/>
          <w:szCs w:val="24"/>
        </w:rPr>
        <w:t xml:space="preserve">e past several decades combined. Recognizing that these opportunities are typically rare and short-lived, </w:t>
      </w:r>
      <w:r w:rsidR="00F056BF">
        <w:rPr>
          <w:rFonts w:cs="Times New Roman"/>
          <w:sz w:val="24"/>
          <w:szCs w:val="24"/>
        </w:rPr>
        <w:t xml:space="preserve">FGP sought to capitalize on </w:t>
      </w:r>
      <w:r w:rsidR="000773AB">
        <w:rPr>
          <w:rFonts w:cs="Times New Roman"/>
          <w:sz w:val="24"/>
          <w:szCs w:val="24"/>
        </w:rPr>
        <w:t>it by</w:t>
      </w:r>
      <w:r w:rsidR="00F056BF">
        <w:rPr>
          <w:rFonts w:cs="Times New Roman"/>
          <w:sz w:val="24"/>
          <w:szCs w:val="24"/>
        </w:rPr>
        <w:t xml:space="preserve"> helping </w:t>
      </w:r>
      <w:r w:rsidR="00C83487">
        <w:rPr>
          <w:rFonts w:cs="Times New Roman"/>
          <w:sz w:val="24"/>
          <w:szCs w:val="24"/>
        </w:rPr>
        <w:t>strengthen</w:t>
      </w:r>
      <w:r w:rsidR="00F056BF">
        <w:rPr>
          <w:rFonts w:cs="Times New Roman"/>
          <w:sz w:val="24"/>
          <w:szCs w:val="24"/>
        </w:rPr>
        <w:t xml:space="preserve"> civil society capacity to </w:t>
      </w:r>
      <w:r w:rsidR="000773AB">
        <w:rPr>
          <w:rFonts w:cs="Times New Roman"/>
          <w:sz w:val="24"/>
          <w:szCs w:val="24"/>
        </w:rPr>
        <w:t xml:space="preserve">engage policymakers </w:t>
      </w:r>
      <w:r w:rsidR="007541CE">
        <w:rPr>
          <w:rFonts w:cs="Times New Roman"/>
          <w:sz w:val="24"/>
          <w:szCs w:val="24"/>
        </w:rPr>
        <w:t>on ambitious reforms</w:t>
      </w:r>
      <w:r w:rsidR="000773AB">
        <w:rPr>
          <w:rFonts w:cs="Times New Roman"/>
          <w:sz w:val="24"/>
          <w:szCs w:val="24"/>
        </w:rPr>
        <w:t xml:space="preserve"> </w:t>
      </w:r>
      <w:r w:rsidR="00103765">
        <w:rPr>
          <w:rFonts w:cs="Times New Roman"/>
          <w:sz w:val="24"/>
          <w:szCs w:val="24"/>
        </w:rPr>
        <w:t>at the international, regional and national level</w:t>
      </w:r>
      <w:r w:rsidR="000773AB">
        <w:rPr>
          <w:rFonts w:cs="Times New Roman"/>
          <w:sz w:val="24"/>
          <w:szCs w:val="24"/>
        </w:rPr>
        <w:t>, particularly in Africa</w:t>
      </w:r>
      <w:r w:rsidR="00F056BF">
        <w:rPr>
          <w:rFonts w:cs="Times New Roman"/>
          <w:sz w:val="24"/>
          <w:szCs w:val="24"/>
        </w:rPr>
        <w:t xml:space="preserve">. </w:t>
      </w:r>
      <w:r w:rsidR="00D30B34" w:rsidRPr="00282955">
        <w:rPr>
          <w:rFonts w:cs="Times New Roman"/>
          <w:sz w:val="24"/>
          <w:szCs w:val="24"/>
        </w:rPr>
        <w:t xml:space="preserve">There was a real concern that political momentum within OECD countries </w:t>
      </w:r>
      <w:r w:rsidR="001230F3" w:rsidRPr="00282955">
        <w:rPr>
          <w:rFonts w:cs="Times New Roman"/>
          <w:sz w:val="24"/>
          <w:szCs w:val="24"/>
        </w:rPr>
        <w:t>would</w:t>
      </w:r>
      <w:r w:rsidR="00D30B34" w:rsidRPr="00282955">
        <w:rPr>
          <w:rFonts w:cs="Times New Roman"/>
          <w:sz w:val="24"/>
          <w:szCs w:val="24"/>
        </w:rPr>
        <w:t xml:space="preserve"> focus on policy measures to crack down on illicit flows and tax evasion/avoidance only as they affected high-income countries, rather than using the opportunity to consider more broadly how efforts to address anonymous shell companies, tax havens, transfer pricing and oth</w:t>
      </w:r>
      <w:r w:rsidR="00DC069A">
        <w:rPr>
          <w:rFonts w:cs="Times New Roman"/>
          <w:sz w:val="24"/>
          <w:szCs w:val="24"/>
        </w:rPr>
        <w:t>er relevant issues in this area</w:t>
      </w:r>
      <w:r w:rsidR="00741968">
        <w:rPr>
          <w:rFonts w:cs="Times New Roman"/>
          <w:sz w:val="24"/>
          <w:szCs w:val="24"/>
        </w:rPr>
        <w:t xml:space="preserve"> </w:t>
      </w:r>
      <w:r w:rsidR="00D30B34" w:rsidRPr="00282955">
        <w:rPr>
          <w:rFonts w:cs="Times New Roman"/>
          <w:sz w:val="24"/>
          <w:szCs w:val="24"/>
        </w:rPr>
        <w:t xml:space="preserve">could have a critical impact on the governance and development prospects of low-income countries. </w:t>
      </w:r>
    </w:p>
    <w:p w:rsidR="004C0F1C" w:rsidRDefault="004C0F1C" w:rsidP="009E28EB">
      <w:pPr>
        <w:spacing w:after="0" w:line="240" w:lineRule="auto"/>
        <w:jc w:val="both"/>
        <w:rPr>
          <w:rFonts w:cs="Times New Roman"/>
          <w:sz w:val="24"/>
          <w:szCs w:val="24"/>
        </w:rPr>
      </w:pPr>
    </w:p>
    <w:p w:rsidR="00941D7A" w:rsidRPr="004603D5" w:rsidRDefault="00D30B34" w:rsidP="009E28EB">
      <w:pPr>
        <w:spacing w:after="0" w:line="240" w:lineRule="auto"/>
        <w:jc w:val="both"/>
        <w:rPr>
          <w:rFonts w:cs="Times New Roman"/>
          <w:sz w:val="24"/>
          <w:szCs w:val="24"/>
        </w:rPr>
      </w:pPr>
      <w:r w:rsidRPr="00282955">
        <w:rPr>
          <w:rFonts w:cs="Times New Roman"/>
          <w:sz w:val="24"/>
          <w:szCs w:val="24"/>
        </w:rPr>
        <w:t>In scanning the field, it was clear to FGP that only a handful of talented but thinly resourced groups existed to seize upon this opening and ensure that ci</w:t>
      </w:r>
      <w:r w:rsidR="003E37F4">
        <w:rPr>
          <w:rFonts w:cs="Times New Roman"/>
          <w:sz w:val="24"/>
          <w:szCs w:val="24"/>
        </w:rPr>
        <w:t>vil society—including from the Global S</w:t>
      </w:r>
      <w:r w:rsidRPr="00282955">
        <w:rPr>
          <w:rFonts w:cs="Times New Roman"/>
          <w:sz w:val="24"/>
          <w:szCs w:val="24"/>
        </w:rPr>
        <w:t xml:space="preserve">outh—had a voice in emerging debates and new policy proposals. </w:t>
      </w:r>
      <w:r w:rsidR="007F6C27">
        <w:rPr>
          <w:rFonts w:cs="Times New Roman"/>
          <w:sz w:val="24"/>
          <w:szCs w:val="24"/>
        </w:rPr>
        <w:t xml:space="preserve">In the </w:t>
      </w:r>
      <w:r w:rsidR="003E37F4">
        <w:rPr>
          <w:rFonts w:cs="Times New Roman"/>
          <w:sz w:val="24"/>
          <w:szCs w:val="24"/>
        </w:rPr>
        <w:t xml:space="preserve">Global </w:t>
      </w:r>
      <w:r w:rsidR="007F6C27">
        <w:rPr>
          <w:rFonts w:cs="Times New Roman"/>
          <w:sz w:val="24"/>
          <w:szCs w:val="24"/>
        </w:rPr>
        <w:t>North, o</w:t>
      </w:r>
      <w:r w:rsidR="0096335A">
        <w:rPr>
          <w:rFonts w:cs="Times New Roman"/>
          <w:sz w:val="24"/>
          <w:szCs w:val="24"/>
        </w:rPr>
        <w:t xml:space="preserve">nly one donor, the government of Norway, had been sustaining </w:t>
      </w:r>
      <w:r w:rsidR="00AD4EE3">
        <w:rPr>
          <w:rFonts w:cs="Times New Roman"/>
          <w:sz w:val="24"/>
          <w:szCs w:val="24"/>
        </w:rPr>
        <w:t>the main international actors</w:t>
      </w:r>
      <w:r w:rsidR="0096335A">
        <w:rPr>
          <w:rFonts w:cs="Times New Roman"/>
          <w:sz w:val="24"/>
          <w:szCs w:val="24"/>
        </w:rPr>
        <w:t xml:space="preserve"> </w:t>
      </w:r>
      <w:r w:rsidR="00173F1D">
        <w:rPr>
          <w:rFonts w:cs="Times New Roman"/>
          <w:sz w:val="24"/>
          <w:szCs w:val="24"/>
        </w:rPr>
        <w:t xml:space="preserve">to </w:t>
      </w:r>
      <w:r w:rsidR="0096335A">
        <w:rPr>
          <w:rFonts w:cs="Times New Roman"/>
          <w:sz w:val="24"/>
          <w:szCs w:val="24"/>
        </w:rPr>
        <w:t>date (e.g. Global Financial Integrity, the Financial Transparency Coalition, Tax Justice Network</w:t>
      </w:r>
      <w:r w:rsidR="008C1124">
        <w:rPr>
          <w:rFonts w:cs="Times New Roman"/>
          <w:sz w:val="24"/>
          <w:szCs w:val="24"/>
        </w:rPr>
        <w:t>, EURODAD</w:t>
      </w:r>
      <w:r w:rsidR="00AC705B">
        <w:rPr>
          <w:rFonts w:cs="Times New Roman"/>
          <w:sz w:val="24"/>
          <w:szCs w:val="24"/>
        </w:rPr>
        <w:t>D</w:t>
      </w:r>
      <w:r w:rsidR="0096335A">
        <w:rPr>
          <w:rFonts w:cs="Times New Roman"/>
          <w:sz w:val="24"/>
          <w:szCs w:val="24"/>
        </w:rPr>
        <w:t xml:space="preserve">) and other large organizations had been cobbling </w:t>
      </w:r>
      <w:r w:rsidR="00AD4EE3">
        <w:rPr>
          <w:rFonts w:cs="Times New Roman"/>
          <w:sz w:val="24"/>
          <w:szCs w:val="24"/>
        </w:rPr>
        <w:t>together scant</w:t>
      </w:r>
      <w:r w:rsidR="0096335A">
        <w:rPr>
          <w:rFonts w:cs="Times New Roman"/>
          <w:sz w:val="24"/>
          <w:szCs w:val="24"/>
        </w:rPr>
        <w:t xml:space="preserve"> funding, primarily at the country office level (e.g. Christian Aid, Action Aid)</w:t>
      </w:r>
      <w:r w:rsidR="00AD4EE3">
        <w:rPr>
          <w:rFonts w:cs="Times New Roman"/>
          <w:sz w:val="24"/>
          <w:szCs w:val="24"/>
        </w:rPr>
        <w:t xml:space="preserve"> to do ad hoc reports and advocacy work</w:t>
      </w:r>
      <w:r w:rsidR="00E94C80">
        <w:rPr>
          <w:rFonts w:cs="Times New Roman"/>
          <w:sz w:val="24"/>
          <w:szCs w:val="24"/>
        </w:rPr>
        <w:t xml:space="preserve">. Still others </w:t>
      </w:r>
      <w:r w:rsidR="00A667F2">
        <w:rPr>
          <w:rFonts w:cs="Times New Roman"/>
          <w:sz w:val="24"/>
          <w:szCs w:val="24"/>
        </w:rPr>
        <w:t xml:space="preserve">such as Oxfam America, ONE and NRGI </w:t>
      </w:r>
      <w:r w:rsidR="00E94C80">
        <w:rPr>
          <w:rFonts w:cs="Times New Roman"/>
          <w:sz w:val="24"/>
          <w:szCs w:val="24"/>
        </w:rPr>
        <w:t>were eager to become engaged in this field as a natural outgrowth of their work on extractives and broader financial accountability issues</w:t>
      </w:r>
      <w:r w:rsidR="00A667F2">
        <w:rPr>
          <w:rFonts w:cs="Times New Roman"/>
          <w:sz w:val="24"/>
          <w:szCs w:val="24"/>
        </w:rPr>
        <w:t>, but were not networked with key groups in this space</w:t>
      </w:r>
      <w:r w:rsidR="00007D8F">
        <w:rPr>
          <w:rFonts w:cs="Times New Roman"/>
          <w:sz w:val="24"/>
          <w:szCs w:val="24"/>
        </w:rPr>
        <w:t xml:space="preserve"> and struggled in some cases to get buy-in from senior leadership and funders.</w:t>
      </w:r>
      <w:r w:rsidR="00E94C80">
        <w:rPr>
          <w:rFonts w:cs="Times New Roman"/>
          <w:sz w:val="24"/>
          <w:szCs w:val="24"/>
        </w:rPr>
        <w:t xml:space="preserve"> </w:t>
      </w:r>
      <w:r w:rsidR="002A6B3D">
        <w:rPr>
          <w:rFonts w:cs="Times New Roman"/>
          <w:sz w:val="24"/>
          <w:szCs w:val="24"/>
        </w:rPr>
        <w:t>In the Global South</w:t>
      </w:r>
      <w:r w:rsidR="008C1124">
        <w:rPr>
          <w:rFonts w:cs="Times New Roman"/>
          <w:sz w:val="24"/>
          <w:szCs w:val="24"/>
        </w:rPr>
        <w:t>, the base of activism was in many ways stronge</w:t>
      </w:r>
      <w:r w:rsidR="00CE320C">
        <w:rPr>
          <w:rFonts w:cs="Times New Roman"/>
          <w:sz w:val="24"/>
          <w:szCs w:val="24"/>
        </w:rPr>
        <w:t xml:space="preserve">r and more diverse </w:t>
      </w:r>
      <w:r w:rsidR="008C1124">
        <w:rPr>
          <w:rFonts w:cs="Times New Roman"/>
          <w:sz w:val="24"/>
          <w:szCs w:val="24"/>
        </w:rPr>
        <w:t>with groups like the Tax Justice Network-Africa</w:t>
      </w:r>
      <w:r w:rsidR="009962D7">
        <w:rPr>
          <w:rFonts w:cs="Times New Roman"/>
          <w:sz w:val="24"/>
          <w:szCs w:val="24"/>
        </w:rPr>
        <w:t xml:space="preserve"> </w:t>
      </w:r>
      <w:r w:rsidR="00096747">
        <w:rPr>
          <w:rFonts w:cs="Times New Roman"/>
          <w:sz w:val="24"/>
          <w:szCs w:val="24"/>
        </w:rPr>
        <w:t>(</w:t>
      </w:r>
      <w:r w:rsidR="009962D7">
        <w:rPr>
          <w:rFonts w:cs="Times New Roman"/>
          <w:sz w:val="24"/>
          <w:szCs w:val="24"/>
        </w:rPr>
        <w:t>and its membership such as the National Taxpayers Association in Kenya</w:t>
      </w:r>
      <w:r w:rsidR="007D2C63">
        <w:rPr>
          <w:rFonts w:cs="Times New Roman"/>
          <w:sz w:val="24"/>
          <w:szCs w:val="24"/>
        </w:rPr>
        <w:t xml:space="preserve">, </w:t>
      </w:r>
      <w:r w:rsidR="009962D7">
        <w:rPr>
          <w:rFonts w:cs="Times New Roman"/>
          <w:sz w:val="24"/>
          <w:szCs w:val="24"/>
        </w:rPr>
        <w:t>Policy Forum in Tanzania</w:t>
      </w:r>
      <w:r w:rsidR="008C1124">
        <w:rPr>
          <w:rFonts w:cs="Times New Roman"/>
          <w:sz w:val="24"/>
          <w:szCs w:val="24"/>
        </w:rPr>
        <w:t xml:space="preserve">, </w:t>
      </w:r>
      <w:r w:rsidR="00F5647E">
        <w:rPr>
          <w:rFonts w:cs="Times New Roman"/>
          <w:sz w:val="24"/>
          <w:szCs w:val="24"/>
        </w:rPr>
        <w:t>and AFRODADD in Zimbabwe</w:t>
      </w:r>
      <w:r w:rsidR="00096747">
        <w:rPr>
          <w:rFonts w:cs="Times New Roman"/>
          <w:sz w:val="24"/>
          <w:szCs w:val="24"/>
        </w:rPr>
        <w:t xml:space="preserve">), the </w:t>
      </w:r>
      <w:r w:rsidR="008C1124">
        <w:rPr>
          <w:rFonts w:cs="Times New Roman"/>
          <w:sz w:val="24"/>
          <w:szCs w:val="24"/>
        </w:rPr>
        <w:t>C</w:t>
      </w:r>
      <w:r w:rsidR="00CE320C">
        <w:rPr>
          <w:rFonts w:cs="Times New Roman"/>
          <w:sz w:val="24"/>
          <w:szCs w:val="24"/>
        </w:rPr>
        <w:t xml:space="preserve">enter for Budget </w:t>
      </w:r>
      <w:r w:rsidR="00173F1D">
        <w:rPr>
          <w:rFonts w:cs="Times New Roman"/>
          <w:sz w:val="24"/>
          <w:szCs w:val="24"/>
        </w:rPr>
        <w:t xml:space="preserve">and </w:t>
      </w:r>
      <w:r w:rsidR="00CE320C">
        <w:rPr>
          <w:rFonts w:cs="Times New Roman"/>
          <w:sz w:val="24"/>
          <w:szCs w:val="24"/>
        </w:rPr>
        <w:t xml:space="preserve">Governance Accountability </w:t>
      </w:r>
      <w:r w:rsidR="008C1124">
        <w:rPr>
          <w:rFonts w:cs="Times New Roman"/>
          <w:sz w:val="24"/>
          <w:szCs w:val="24"/>
        </w:rPr>
        <w:t>in India, Third World Network</w:t>
      </w:r>
      <w:r w:rsidR="009962D7">
        <w:rPr>
          <w:rFonts w:cs="Times New Roman"/>
          <w:sz w:val="24"/>
          <w:szCs w:val="24"/>
        </w:rPr>
        <w:t xml:space="preserve">-Africa in Ghana, </w:t>
      </w:r>
      <w:r w:rsidR="008C1124">
        <w:rPr>
          <w:rFonts w:cs="Times New Roman"/>
          <w:sz w:val="24"/>
          <w:szCs w:val="24"/>
        </w:rPr>
        <w:t>T</w:t>
      </w:r>
      <w:r w:rsidR="009962D7">
        <w:rPr>
          <w:rFonts w:cs="Times New Roman"/>
          <w:sz w:val="24"/>
          <w:szCs w:val="24"/>
        </w:rPr>
        <w:t xml:space="preserve">ransparency International </w:t>
      </w:r>
      <w:r w:rsidR="007D2C63">
        <w:rPr>
          <w:rFonts w:cs="Times New Roman"/>
          <w:sz w:val="24"/>
          <w:szCs w:val="24"/>
        </w:rPr>
        <w:t>national</w:t>
      </w:r>
      <w:r w:rsidR="008C1124">
        <w:rPr>
          <w:rFonts w:cs="Times New Roman"/>
          <w:sz w:val="24"/>
          <w:szCs w:val="24"/>
        </w:rPr>
        <w:t xml:space="preserve"> chapters</w:t>
      </w:r>
      <w:r w:rsidR="00AC705B">
        <w:rPr>
          <w:rFonts w:cs="Times New Roman"/>
          <w:sz w:val="24"/>
          <w:szCs w:val="24"/>
        </w:rPr>
        <w:t>,</w:t>
      </w:r>
      <w:r w:rsidR="008C1124">
        <w:rPr>
          <w:rFonts w:cs="Times New Roman"/>
          <w:sz w:val="24"/>
          <w:szCs w:val="24"/>
        </w:rPr>
        <w:t xml:space="preserve"> and LATINDAD</w:t>
      </w:r>
      <w:r w:rsidR="00AC705B">
        <w:rPr>
          <w:rFonts w:cs="Times New Roman"/>
          <w:sz w:val="24"/>
          <w:szCs w:val="24"/>
        </w:rPr>
        <w:t>D</w:t>
      </w:r>
      <w:r w:rsidR="008C1124">
        <w:rPr>
          <w:rFonts w:cs="Times New Roman"/>
          <w:sz w:val="24"/>
          <w:szCs w:val="24"/>
        </w:rPr>
        <w:t xml:space="preserve"> demonstrating strong interest and increasingly sophisticated analysis of </w:t>
      </w:r>
      <w:r w:rsidR="00096747">
        <w:rPr>
          <w:rFonts w:cs="Times New Roman"/>
          <w:sz w:val="24"/>
          <w:szCs w:val="24"/>
        </w:rPr>
        <w:t>IFF</w:t>
      </w:r>
      <w:r w:rsidR="008C1124">
        <w:rPr>
          <w:rFonts w:cs="Times New Roman"/>
          <w:sz w:val="24"/>
          <w:szCs w:val="24"/>
        </w:rPr>
        <w:t xml:space="preserve"> and tax policy concerns, </w:t>
      </w:r>
      <w:r w:rsidR="008C1124" w:rsidRPr="004603D5">
        <w:rPr>
          <w:rFonts w:cs="Times New Roman"/>
          <w:sz w:val="24"/>
          <w:szCs w:val="24"/>
        </w:rPr>
        <w:t xml:space="preserve">but again with </w:t>
      </w:r>
      <w:r w:rsidR="001B33A3" w:rsidRPr="004603D5">
        <w:rPr>
          <w:rFonts w:cs="Times New Roman"/>
          <w:sz w:val="24"/>
          <w:szCs w:val="24"/>
        </w:rPr>
        <w:t>no serious resource base</w:t>
      </w:r>
      <w:r w:rsidR="00F13B8F">
        <w:rPr>
          <w:rFonts w:cs="Times New Roman"/>
          <w:sz w:val="24"/>
          <w:szCs w:val="24"/>
        </w:rPr>
        <w:t>. Likewise it was clear</w:t>
      </w:r>
      <w:r w:rsidR="0022437B">
        <w:rPr>
          <w:rFonts w:cs="Times New Roman"/>
          <w:sz w:val="24"/>
          <w:szCs w:val="24"/>
        </w:rPr>
        <w:t xml:space="preserve"> to FGP</w:t>
      </w:r>
      <w:r w:rsidR="00F13B8F">
        <w:rPr>
          <w:rFonts w:cs="Times New Roman"/>
          <w:sz w:val="24"/>
          <w:szCs w:val="24"/>
        </w:rPr>
        <w:t xml:space="preserve"> that all of these groups</w:t>
      </w:r>
      <w:r w:rsidR="001B33A3" w:rsidRPr="004603D5">
        <w:rPr>
          <w:rFonts w:cs="Times New Roman"/>
          <w:sz w:val="24"/>
          <w:szCs w:val="24"/>
        </w:rPr>
        <w:t xml:space="preserve"> </w:t>
      </w:r>
      <w:r w:rsidR="00F13B8F">
        <w:rPr>
          <w:rFonts w:cs="Times New Roman"/>
          <w:sz w:val="24"/>
          <w:szCs w:val="24"/>
        </w:rPr>
        <w:t xml:space="preserve">could benefit from being more connected </w:t>
      </w:r>
      <w:r w:rsidR="001B33A3" w:rsidRPr="004603D5">
        <w:rPr>
          <w:rFonts w:cs="Times New Roman"/>
          <w:sz w:val="24"/>
          <w:szCs w:val="24"/>
        </w:rPr>
        <w:t xml:space="preserve">to each other, </w:t>
      </w:r>
      <w:r w:rsidR="004603D5" w:rsidRPr="004603D5">
        <w:rPr>
          <w:rFonts w:cs="Times New Roman"/>
          <w:sz w:val="24"/>
          <w:szCs w:val="24"/>
        </w:rPr>
        <w:t xml:space="preserve">their Northern counterparts working in this space, as well as </w:t>
      </w:r>
      <w:r w:rsidR="001B33A3" w:rsidRPr="004603D5">
        <w:rPr>
          <w:rFonts w:cs="Times New Roman"/>
          <w:sz w:val="24"/>
          <w:szCs w:val="24"/>
        </w:rPr>
        <w:t xml:space="preserve">international institutions developing </w:t>
      </w:r>
      <w:r w:rsidR="004603D5" w:rsidRPr="004603D5">
        <w:rPr>
          <w:rFonts w:cs="Times New Roman"/>
          <w:sz w:val="24"/>
          <w:szCs w:val="24"/>
        </w:rPr>
        <w:t xml:space="preserve">potentially </w:t>
      </w:r>
      <w:r w:rsidR="001B33A3" w:rsidRPr="004603D5">
        <w:rPr>
          <w:rFonts w:cs="Times New Roman"/>
          <w:sz w:val="24"/>
          <w:szCs w:val="24"/>
        </w:rPr>
        <w:t>relev</w:t>
      </w:r>
      <w:r w:rsidR="004603D5">
        <w:rPr>
          <w:rFonts w:cs="Times New Roman"/>
          <w:sz w:val="24"/>
          <w:szCs w:val="24"/>
        </w:rPr>
        <w:t>ant policies (e.g. OECD</w:t>
      </w:r>
      <w:r w:rsidR="007A22E4">
        <w:rPr>
          <w:rFonts w:cs="Times New Roman"/>
          <w:sz w:val="24"/>
          <w:szCs w:val="24"/>
        </w:rPr>
        <w:t>/G20</w:t>
      </w:r>
      <w:r w:rsidR="004603D5">
        <w:rPr>
          <w:rFonts w:cs="Times New Roman"/>
          <w:sz w:val="24"/>
          <w:szCs w:val="24"/>
        </w:rPr>
        <w:t xml:space="preserve"> BEPS project, the Mbeki Panel</w:t>
      </w:r>
      <w:r w:rsidR="003A0F0E">
        <w:rPr>
          <w:rFonts w:cs="Times New Roman"/>
          <w:sz w:val="24"/>
          <w:szCs w:val="24"/>
        </w:rPr>
        <w:t>, and the Financing for Development agenda</w:t>
      </w:r>
      <w:r w:rsidR="001B33A3" w:rsidRPr="004603D5">
        <w:rPr>
          <w:rFonts w:cs="Times New Roman"/>
          <w:sz w:val="24"/>
          <w:szCs w:val="24"/>
        </w:rPr>
        <w:t>)</w:t>
      </w:r>
      <w:r w:rsidR="00C4224B" w:rsidRPr="004603D5">
        <w:rPr>
          <w:rFonts w:cs="Times New Roman"/>
          <w:sz w:val="24"/>
          <w:szCs w:val="24"/>
        </w:rPr>
        <w:t xml:space="preserve">. </w:t>
      </w:r>
    </w:p>
    <w:p w:rsidR="00941D7A" w:rsidRDefault="00941D7A" w:rsidP="009E28EB">
      <w:pPr>
        <w:spacing w:after="0" w:line="240" w:lineRule="auto"/>
        <w:jc w:val="both"/>
        <w:rPr>
          <w:rFonts w:cs="Times New Roman"/>
          <w:sz w:val="24"/>
          <w:szCs w:val="24"/>
        </w:rPr>
      </w:pPr>
    </w:p>
    <w:p w:rsidR="008F3E0D" w:rsidRPr="007F6C27" w:rsidRDefault="00C4224B" w:rsidP="009E28EB">
      <w:pPr>
        <w:spacing w:after="0" w:line="240" w:lineRule="auto"/>
        <w:jc w:val="both"/>
        <w:rPr>
          <w:rFonts w:cs="Times New Roman"/>
          <w:sz w:val="24"/>
          <w:szCs w:val="24"/>
        </w:rPr>
      </w:pPr>
      <w:r>
        <w:rPr>
          <w:rFonts w:cs="Times New Roman"/>
          <w:sz w:val="24"/>
          <w:szCs w:val="24"/>
        </w:rPr>
        <w:t>When FGP began expressing interest in this issue area in mid-2013</w:t>
      </w:r>
      <w:r w:rsidR="00CC1935">
        <w:rPr>
          <w:rFonts w:cs="Times New Roman"/>
          <w:sz w:val="24"/>
          <w:szCs w:val="24"/>
        </w:rPr>
        <w:t xml:space="preserve">, there were no other donors actively considering how they might take advantage of new policy openings and supporting the illicit flows/tax justice field. There were political concerns within many private foundations about </w:t>
      </w:r>
      <w:r w:rsidR="00391EBE">
        <w:rPr>
          <w:rFonts w:cs="Times New Roman"/>
          <w:sz w:val="24"/>
          <w:szCs w:val="24"/>
        </w:rPr>
        <w:t>whether their</w:t>
      </w:r>
      <w:r w:rsidR="00CC1935">
        <w:rPr>
          <w:rFonts w:cs="Times New Roman"/>
          <w:sz w:val="24"/>
          <w:szCs w:val="24"/>
        </w:rPr>
        <w:t xml:space="preserve"> leadership would </w:t>
      </w:r>
      <w:r w:rsidR="00391EBE">
        <w:rPr>
          <w:rFonts w:cs="Times New Roman"/>
          <w:sz w:val="24"/>
          <w:szCs w:val="24"/>
        </w:rPr>
        <w:t>view</w:t>
      </w:r>
      <w:r w:rsidR="00CC1935">
        <w:rPr>
          <w:rFonts w:cs="Times New Roman"/>
          <w:sz w:val="24"/>
          <w:szCs w:val="24"/>
        </w:rPr>
        <w:t xml:space="preserve"> engagement on tax havens in particular</w:t>
      </w:r>
      <w:r w:rsidR="00391EBE">
        <w:rPr>
          <w:rFonts w:cs="Times New Roman"/>
          <w:sz w:val="24"/>
          <w:szCs w:val="24"/>
        </w:rPr>
        <w:t xml:space="preserve"> as too radical and/or a public relations challenge.</w:t>
      </w:r>
      <w:r w:rsidR="00CC1935">
        <w:rPr>
          <w:rFonts w:cs="Times New Roman"/>
          <w:sz w:val="24"/>
          <w:szCs w:val="24"/>
        </w:rPr>
        <w:t xml:space="preserve"> </w:t>
      </w:r>
      <w:r w:rsidR="00391EBE">
        <w:rPr>
          <w:rFonts w:cs="Times New Roman"/>
          <w:sz w:val="24"/>
          <w:szCs w:val="24"/>
        </w:rPr>
        <w:t xml:space="preserve">Nonetheless, when FGP began speaking to other </w:t>
      </w:r>
      <w:r>
        <w:rPr>
          <w:rFonts w:cs="Times New Roman"/>
          <w:sz w:val="24"/>
          <w:szCs w:val="24"/>
        </w:rPr>
        <w:t>donors (primarily those in the Transparency and Accountability Initiative) about our strategy and ambitions</w:t>
      </w:r>
      <w:r w:rsidR="00391EBE">
        <w:rPr>
          <w:rFonts w:cs="Times New Roman"/>
          <w:sz w:val="24"/>
          <w:szCs w:val="24"/>
        </w:rPr>
        <w:t xml:space="preserve"> in mid-2013</w:t>
      </w:r>
      <w:r>
        <w:rPr>
          <w:rFonts w:cs="Times New Roman"/>
          <w:sz w:val="24"/>
          <w:szCs w:val="24"/>
        </w:rPr>
        <w:t>, it quickly generated</w:t>
      </w:r>
      <w:r w:rsidR="00391EBE">
        <w:rPr>
          <w:rFonts w:cs="Times New Roman"/>
          <w:sz w:val="24"/>
          <w:szCs w:val="24"/>
        </w:rPr>
        <w:t xml:space="preserve"> cautious</w:t>
      </w:r>
      <w:r>
        <w:rPr>
          <w:rFonts w:cs="Times New Roman"/>
          <w:sz w:val="24"/>
          <w:szCs w:val="24"/>
        </w:rPr>
        <w:t xml:space="preserve"> enthusiasm at Omidyar Network, the Hewlett Foundation and the Ford Foundation</w:t>
      </w:r>
      <w:r w:rsidR="00391EBE">
        <w:rPr>
          <w:rFonts w:cs="Times New Roman"/>
          <w:sz w:val="24"/>
          <w:szCs w:val="24"/>
        </w:rPr>
        <w:t>, and ultimately resulted in these donors following us into the field in 2014</w:t>
      </w:r>
      <w:r>
        <w:rPr>
          <w:rFonts w:cs="Times New Roman"/>
          <w:sz w:val="24"/>
          <w:szCs w:val="24"/>
        </w:rPr>
        <w:t>.</w:t>
      </w:r>
      <w:r w:rsidR="007F6C27">
        <w:rPr>
          <w:rFonts w:cs="Times New Roman"/>
          <w:b/>
          <w:sz w:val="24"/>
          <w:szCs w:val="24"/>
        </w:rPr>
        <w:tab/>
      </w:r>
    </w:p>
    <w:p w:rsidR="00F17D9C" w:rsidRDefault="00F17D9C" w:rsidP="009E28EB">
      <w:pPr>
        <w:spacing w:after="0" w:line="240" w:lineRule="auto"/>
        <w:jc w:val="both"/>
        <w:rPr>
          <w:rFonts w:cs="Times New Roman"/>
          <w:b/>
          <w:sz w:val="24"/>
          <w:szCs w:val="24"/>
        </w:rPr>
      </w:pPr>
    </w:p>
    <w:p w:rsidR="00F17D9C" w:rsidRPr="00534177" w:rsidRDefault="003B2494" w:rsidP="009E28EB">
      <w:pPr>
        <w:spacing w:after="0" w:line="240" w:lineRule="auto"/>
        <w:jc w:val="both"/>
        <w:rPr>
          <w:rFonts w:cs="Times New Roman"/>
          <w:b/>
          <w:sz w:val="24"/>
          <w:szCs w:val="24"/>
        </w:rPr>
      </w:pPr>
      <w:r w:rsidRPr="003B2494">
        <w:rPr>
          <w:rFonts w:cs="Times New Roman"/>
          <w:b/>
          <w:sz w:val="24"/>
          <w:szCs w:val="24"/>
        </w:rPr>
        <w:t>Our Work</w:t>
      </w:r>
    </w:p>
    <w:p w:rsidR="00455DCF" w:rsidRPr="00282955" w:rsidRDefault="007A003A" w:rsidP="009E28EB">
      <w:pPr>
        <w:spacing w:after="0" w:line="240" w:lineRule="auto"/>
        <w:jc w:val="both"/>
        <w:rPr>
          <w:rFonts w:cs="Times New Roman"/>
          <w:sz w:val="24"/>
          <w:szCs w:val="24"/>
        </w:rPr>
      </w:pPr>
      <w:r w:rsidRPr="00282955">
        <w:rPr>
          <w:rFonts w:cs="Times New Roman"/>
          <w:sz w:val="24"/>
          <w:szCs w:val="24"/>
        </w:rPr>
        <w:t>Almost immediately after FGP’s 2014-2017 strategy was approved, it became increasingly clear to FGP’s Director that the program’s grant making and operational support w</w:t>
      </w:r>
      <w:r w:rsidR="00534177">
        <w:rPr>
          <w:rFonts w:cs="Times New Roman"/>
          <w:sz w:val="24"/>
          <w:szCs w:val="24"/>
        </w:rPr>
        <w:t>ere</w:t>
      </w:r>
      <w:r w:rsidRPr="00282955">
        <w:rPr>
          <w:rFonts w:cs="Times New Roman"/>
          <w:sz w:val="24"/>
          <w:szCs w:val="24"/>
        </w:rPr>
        <w:t xml:space="preserve"> really divided along two tracks: support to a burgeoning field around illicit flows and tax policy work, and the implementation of a concept around achieving mandatory beneficial ownership </w:t>
      </w:r>
      <w:r w:rsidR="00455DCF" w:rsidRPr="00282955">
        <w:rPr>
          <w:rFonts w:cs="Times New Roman"/>
          <w:sz w:val="24"/>
          <w:szCs w:val="24"/>
        </w:rPr>
        <w:t>transparency</w:t>
      </w:r>
      <w:r w:rsidRPr="00282955">
        <w:rPr>
          <w:rFonts w:cs="Times New Roman"/>
          <w:sz w:val="24"/>
          <w:szCs w:val="24"/>
        </w:rPr>
        <w:t xml:space="preserve"> in Europe and the US.</w:t>
      </w:r>
      <w:r w:rsidR="00AC05CC">
        <w:rPr>
          <w:rFonts w:cs="Times New Roman"/>
          <w:sz w:val="24"/>
          <w:szCs w:val="24"/>
        </w:rPr>
        <w:t xml:space="preserve"> (</w:t>
      </w:r>
      <w:r w:rsidR="00AC05CC" w:rsidRPr="00282955">
        <w:rPr>
          <w:sz w:val="24"/>
          <w:szCs w:val="24"/>
        </w:rPr>
        <w:t>FGP’s 2016-2019 strategy will reflect this division going forward.</w:t>
      </w:r>
      <w:r w:rsidR="00AC05CC">
        <w:rPr>
          <w:sz w:val="24"/>
          <w:szCs w:val="24"/>
        </w:rPr>
        <w:t>)</w:t>
      </w:r>
      <w:r w:rsidR="00455DCF" w:rsidRPr="00282955">
        <w:rPr>
          <w:rFonts w:cs="Times New Roman"/>
          <w:sz w:val="24"/>
          <w:szCs w:val="24"/>
        </w:rPr>
        <w:t xml:space="preserve"> Accordingly, </w:t>
      </w:r>
      <w:r w:rsidR="007F6C27">
        <w:rPr>
          <w:rFonts w:cs="Times New Roman"/>
          <w:sz w:val="24"/>
          <w:szCs w:val="24"/>
        </w:rPr>
        <w:t xml:space="preserve">FGP’s discussion </w:t>
      </w:r>
      <w:r w:rsidR="00534177">
        <w:rPr>
          <w:rFonts w:cs="Times New Roman"/>
          <w:sz w:val="24"/>
          <w:szCs w:val="24"/>
        </w:rPr>
        <w:t xml:space="preserve">below </w:t>
      </w:r>
      <w:r w:rsidR="007F6C27">
        <w:rPr>
          <w:rFonts w:cs="Times New Roman"/>
          <w:sz w:val="24"/>
          <w:szCs w:val="24"/>
        </w:rPr>
        <w:t>of our work within this portfolio</w:t>
      </w:r>
      <w:r w:rsidR="00455DCF" w:rsidRPr="00282955">
        <w:rPr>
          <w:rFonts w:cs="Times New Roman"/>
          <w:sz w:val="24"/>
          <w:szCs w:val="24"/>
        </w:rPr>
        <w:t xml:space="preserve"> is divided into two parts. </w:t>
      </w:r>
    </w:p>
    <w:p w:rsidR="00941D7A" w:rsidRDefault="00941D7A" w:rsidP="009E28EB">
      <w:pPr>
        <w:spacing w:after="0" w:line="240" w:lineRule="auto"/>
        <w:jc w:val="both"/>
        <w:rPr>
          <w:rFonts w:cs="Times New Roman"/>
          <w:sz w:val="24"/>
          <w:szCs w:val="24"/>
        </w:rPr>
      </w:pPr>
    </w:p>
    <w:p w:rsidR="001E1129" w:rsidRPr="002A42C9" w:rsidRDefault="00455DCF" w:rsidP="009E28EB">
      <w:pPr>
        <w:spacing w:after="0" w:line="240" w:lineRule="auto"/>
        <w:jc w:val="both"/>
        <w:rPr>
          <w:rFonts w:cs="Times New Roman"/>
          <w:sz w:val="24"/>
          <w:szCs w:val="24"/>
        </w:rPr>
      </w:pPr>
      <w:r w:rsidRPr="00A00765">
        <w:rPr>
          <w:rFonts w:cs="Times New Roman"/>
          <w:sz w:val="24"/>
          <w:szCs w:val="24"/>
        </w:rPr>
        <w:t>The first</w:t>
      </w:r>
      <w:r w:rsidR="00EF093D" w:rsidRPr="00A00765">
        <w:rPr>
          <w:rFonts w:cs="Times New Roman"/>
          <w:sz w:val="24"/>
          <w:szCs w:val="24"/>
        </w:rPr>
        <w:t xml:space="preserve"> part</w:t>
      </w:r>
      <w:r w:rsidRPr="00A00765">
        <w:rPr>
          <w:rFonts w:cs="Times New Roman"/>
          <w:sz w:val="24"/>
          <w:szCs w:val="24"/>
        </w:rPr>
        <w:t xml:space="preserve"> offers reflections on whether and how FGP has helped a set of organizations within the field become stronger, more effective, resilient, </w:t>
      </w:r>
      <w:r w:rsidR="00C77637" w:rsidRPr="00A00765">
        <w:rPr>
          <w:rFonts w:cs="Times New Roman"/>
          <w:sz w:val="24"/>
          <w:szCs w:val="24"/>
        </w:rPr>
        <w:t>and</w:t>
      </w:r>
      <w:r w:rsidRPr="00A00765">
        <w:rPr>
          <w:rFonts w:cs="Times New Roman"/>
          <w:sz w:val="24"/>
          <w:szCs w:val="24"/>
        </w:rPr>
        <w:t xml:space="preserve"> innovative over the course of our support</w:t>
      </w:r>
      <w:r w:rsidR="00C77637" w:rsidRPr="00A00765">
        <w:rPr>
          <w:rFonts w:cs="Times New Roman"/>
          <w:sz w:val="24"/>
          <w:szCs w:val="24"/>
        </w:rPr>
        <w:t xml:space="preserve">, as well as an assessment of </w:t>
      </w:r>
      <w:r w:rsidRPr="00A00765">
        <w:rPr>
          <w:rFonts w:cs="Times New Roman"/>
          <w:sz w:val="24"/>
          <w:szCs w:val="24"/>
        </w:rPr>
        <w:t>what we believe they have accomplished organizationally and programmatically, where we see weaknesses, and what we are learning from them to inform our strategy going forward.</w:t>
      </w:r>
      <w:r w:rsidR="002A42C9">
        <w:rPr>
          <w:rFonts w:cs="Times New Roman"/>
          <w:sz w:val="24"/>
          <w:szCs w:val="24"/>
        </w:rPr>
        <w:t xml:space="preserve">  </w:t>
      </w:r>
      <w:r w:rsidRPr="00A00765">
        <w:rPr>
          <w:rFonts w:cs="Times New Roman"/>
          <w:sz w:val="24"/>
          <w:szCs w:val="24"/>
        </w:rPr>
        <w:t>The second part offers reflections on a different but overlapping group of organizations and efforts we have supported around the concept of promoting mandatory beneficial ownership transparency</w:t>
      </w:r>
      <w:r w:rsidR="00687088" w:rsidRPr="00A00765">
        <w:rPr>
          <w:rFonts w:cs="Times New Roman"/>
          <w:sz w:val="24"/>
          <w:szCs w:val="24"/>
        </w:rPr>
        <w:t xml:space="preserve">, with a focus on how effective we and our partners have been to date, </w:t>
      </w:r>
      <w:r w:rsidR="00EF093D" w:rsidRPr="00A00765">
        <w:rPr>
          <w:rFonts w:cs="Times New Roman"/>
          <w:sz w:val="24"/>
          <w:szCs w:val="24"/>
        </w:rPr>
        <w:t xml:space="preserve">what has gone well, what could have been done differently, what surprises we have encountered along the way, and </w:t>
      </w:r>
      <w:r w:rsidR="00534177">
        <w:rPr>
          <w:rFonts w:cs="Times New Roman"/>
          <w:sz w:val="24"/>
          <w:szCs w:val="24"/>
        </w:rPr>
        <w:t xml:space="preserve">what </w:t>
      </w:r>
      <w:r w:rsidR="00C77637" w:rsidRPr="00A00765">
        <w:rPr>
          <w:rFonts w:cs="Times New Roman"/>
          <w:sz w:val="24"/>
          <w:szCs w:val="24"/>
        </w:rPr>
        <w:t xml:space="preserve">this has taught us </w:t>
      </w:r>
      <w:r w:rsidR="00EF093D" w:rsidRPr="00A00765">
        <w:rPr>
          <w:rFonts w:cs="Times New Roman"/>
          <w:sz w:val="24"/>
          <w:szCs w:val="24"/>
        </w:rPr>
        <w:t>about how we can further refine our work on this concept going forward.</w:t>
      </w:r>
      <w:r w:rsidR="00EF093D" w:rsidRPr="00282955">
        <w:rPr>
          <w:rFonts w:cs="Times New Roman"/>
          <w:sz w:val="24"/>
          <w:szCs w:val="24"/>
        </w:rPr>
        <w:t xml:space="preserve"> </w:t>
      </w:r>
    </w:p>
    <w:p w:rsidR="00C61B16" w:rsidRPr="00282955" w:rsidRDefault="00C61B16" w:rsidP="009E28EB">
      <w:pPr>
        <w:spacing w:after="0" w:line="240" w:lineRule="auto"/>
        <w:jc w:val="both"/>
        <w:rPr>
          <w:sz w:val="24"/>
          <w:szCs w:val="24"/>
        </w:rPr>
      </w:pPr>
    </w:p>
    <w:p w:rsidR="002A42C9" w:rsidRDefault="00F24157" w:rsidP="009E28EB">
      <w:pPr>
        <w:tabs>
          <w:tab w:val="left" w:pos="3845"/>
        </w:tabs>
        <w:spacing w:after="0" w:line="240" w:lineRule="auto"/>
        <w:jc w:val="both"/>
        <w:rPr>
          <w:sz w:val="24"/>
          <w:szCs w:val="24"/>
        </w:rPr>
      </w:pPr>
      <w:r>
        <w:rPr>
          <w:sz w:val="24"/>
          <w:szCs w:val="24"/>
        </w:rPr>
        <w:t xml:space="preserve">Significantly, in March 2014 </w:t>
      </w:r>
      <w:r w:rsidR="00425D7B">
        <w:rPr>
          <w:sz w:val="24"/>
          <w:szCs w:val="24"/>
        </w:rPr>
        <w:t>FGP brought on board a Program Officer with substantial tax expertise, Vera Mshana</w:t>
      </w:r>
      <w:r w:rsidR="003F283A">
        <w:rPr>
          <w:sz w:val="24"/>
          <w:szCs w:val="24"/>
        </w:rPr>
        <w:t xml:space="preserve"> (a former private tax attorney and tax justice activist)</w:t>
      </w:r>
      <w:r w:rsidR="00425D7B">
        <w:rPr>
          <w:sz w:val="24"/>
          <w:szCs w:val="24"/>
        </w:rPr>
        <w:t>, to assume responsibility for the portfolio</w:t>
      </w:r>
      <w:r w:rsidR="003A41F1">
        <w:rPr>
          <w:sz w:val="24"/>
          <w:szCs w:val="24"/>
        </w:rPr>
        <w:t>’s existing investments, as well as</w:t>
      </w:r>
      <w:r w:rsidR="00B633B7">
        <w:rPr>
          <w:sz w:val="24"/>
          <w:szCs w:val="24"/>
        </w:rPr>
        <w:t xml:space="preserve"> all</w:t>
      </w:r>
      <w:r w:rsidR="003A41F1">
        <w:rPr>
          <w:sz w:val="24"/>
          <w:szCs w:val="24"/>
        </w:rPr>
        <w:t xml:space="preserve"> new grants going forward.</w:t>
      </w:r>
    </w:p>
    <w:p w:rsidR="002A42C9" w:rsidRDefault="002A42C9" w:rsidP="009E28EB">
      <w:pPr>
        <w:tabs>
          <w:tab w:val="left" w:pos="3845"/>
        </w:tabs>
        <w:spacing w:after="0" w:line="240" w:lineRule="auto"/>
        <w:jc w:val="both"/>
        <w:rPr>
          <w:sz w:val="24"/>
          <w:szCs w:val="24"/>
        </w:rPr>
      </w:pPr>
    </w:p>
    <w:p w:rsidR="00C61B16" w:rsidRDefault="00C61B16" w:rsidP="009E28EB">
      <w:pPr>
        <w:tabs>
          <w:tab w:val="left" w:pos="3845"/>
        </w:tabs>
        <w:spacing w:after="0" w:line="240" w:lineRule="auto"/>
        <w:jc w:val="both"/>
        <w:rPr>
          <w:b/>
          <w:sz w:val="24"/>
          <w:szCs w:val="24"/>
        </w:rPr>
      </w:pPr>
      <w:r>
        <w:rPr>
          <w:b/>
          <w:sz w:val="24"/>
          <w:szCs w:val="24"/>
        </w:rPr>
        <w:t>Part I. Field Support around I</w:t>
      </w:r>
      <w:r w:rsidRPr="00C61B16">
        <w:rPr>
          <w:b/>
          <w:sz w:val="24"/>
          <w:szCs w:val="24"/>
        </w:rPr>
        <w:t>llicit Financial Flows and Tax Policy</w:t>
      </w:r>
    </w:p>
    <w:p w:rsidR="00A00765" w:rsidRDefault="00A00765" w:rsidP="009E28EB">
      <w:pPr>
        <w:tabs>
          <w:tab w:val="left" w:pos="3845"/>
        </w:tabs>
        <w:spacing w:after="0" w:line="240" w:lineRule="auto"/>
        <w:jc w:val="both"/>
        <w:rPr>
          <w:sz w:val="24"/>
          <w:szCs w:val="24"/>
          <w:u w:val="single"/>
        </w:rPr>
      </w:pPr>
    </w:p>
    <w:p w:rsidR="00941D7A" w:rsidRPr="00C8718A" w:rsidRDefault="00C8718A" w:rsidP="009E28EB">
      <w:pPr>
        <w:tabs>
          <w:tab w:val="left" w:pos="3845"/>
        </w:tabs>
        <w:spacing w:after="0" w:line="240" w:lineRule="auto"/>
        <w:jc w:val="both"/>
        <w:rPr>
          <w:sz w:val="24"/>
          <w:szCs w:val="24"/>
          <w:u w:val="single"/>
        </w:rPr>
      </w:pPr>
      <w:r w:rsidRPr="00C8718A">
        <w:rPr>
          <w:sz w:val="24"/>
          <w:szCs w:val="24"/>
          <w:u w:val="single"/>
        </w:rPr>
        <w:t xml:space="preserve">Assessment of our Grantees </w:t>
      </w:r>
    </w:p>
    <w:p w:rsidR="00C8718A" w:rsidRDefault="00C8718A" w:rsidP="009E28EB">
      <w:pPr>
        <w:tabs>
          <w:tab w:val="left" w:pos="3845"/>
        </w:tabs>
        <w:spacing w:after="0" w:line="240" w:lineRule="auto"/>
        <w:jc w:val="both"/>
        <w:rPr>
          <w:sz w:val="24"/>
          <w:szCs w:val="24"/>
        </w:rPr>
      </w:pPr>
    </w:p>
    <w:p w:rsidR="00BF3743" w:rsidRDefault="008F3E0D" w:rsidP="009E28EB">
      <w:pPr>
        <w:tabs>
          <w:tab w:val="left" w:pos="3845"/>
        </w:tabs>
        <w:spacing w:after="0" w:line="240" w:lineRule="auto"/>
        <w:jc w:val="both"/>
        <w:rPr>
          <w:sz w:val="24"/>
          <w:szCs w:val="24"/>
        </w:rPr>
      </w:pPr>
      <w:r w:rsidRPr="008F3E0D">
        <w:rPr>
          <w:sz w:val="24"/>
          <w:szCs w:val="24"/>
        </w:rPr>
        <w:t xml:space="preserve">Within the field, </w:t>
      </w:r>
      <w:r>
        <w:rPr>
          <w:sz w:val="24"/>
          <w:szCs w:val="24"/>
        </w:rPr>
        <w:t xml:space="preserve">beyond existing support to groups like Global Witness that were already actively engaged around illicit flows, </w:t>
      </w:r>
      <w:r w:rsidRPr="008F3E0D">
        <w:rPr>
          <w:sz w:val="24"/>
          <w:szCs w:val="24"/>
        </w:rPr>
        <w:t xml:space="preserve">FGP sought to </w:t>
      </w:r>
      <w:r>
        <w:rPr>
          <w:sz w:val="24"/>
          <w:szCs w:val="24"/>
        </w:rPr>
        <w:t>support a broader set of civil society organizatio</w:t>
      </w:r>
      <w:r w:rsidR="00BF3743">
        <w:rPr>
          <w:sz w:val="24"/>
          <w:szCs w:val="24"/>
        </w:rPr>
        <w:t>ns that demonstrated a focus on:</w:t>
      </w:r>
    </w:p>
    <w:p w:rsidR="00BF3743" w:rsidRDefault="00BF3743" w:rsidP="009E28EB">
      <w:pPr>
        <w:tabs>
          <w:tab w:val="left" w:pos="3845"/>
        </w:tabs>
        <w:spacing w:after="0" w:line="240" w:lineRule="auto"/>
        <w:jc w:val="both"/>
        <w:rPr>
          <w:sz w:val="24"/>
          <w:szCs w:val="24"/>
        </w:rPr>
      </w:pPr>
    </w:p>
    <w:p w:rsidR="00BF3743" w:rsidRDefault="008F3E0D" w:rsidP="009E28EB">
      <w:pPr>
        <w:pStyle w:val="ListParagraph"/>
        <w:numPr>
          <w:ilvl w:val="0"/>
          <w:numId w:val="5"/>
        </w:numPr>
        <w:tabs>
          <w:tab w:val="left" w:pos="3845"/>
        </w:tabs>
        <w:spacing w:after="0" w:line="240" w:lineRule="auto"/>
        <w:jc w:val="both"/>
        <w:rPr>
          <w:sz w:val="24"/>
          <w:szCs w:val="24"/>
        </w:rPr>
      </w:pPr>
      <w:r w:rsidRPr="00BF3743">
        <w:rPr>
          <w:sz w:val="24"/>
          <w:szCs w:val="24"/>
        </w:rPr>
        <w:t xml:space="preserve">the impacts </w:t>
      </w:r>
      <w:r w:rsidR="004C0F1C">
        <w:rPr>
          <w:sz w:val="24"/>
          <w:szCs w:val="24"/>
        </w:rPr>
        <w:t xml:space="preserve">on development </w:t>
      </w:r>
      <w:r w:rsidRPr="00BF3743">
        <w:rPr>
          <w:sz w:val="24"/>
          <w:szCs w:val="24"/>
        </w:rPr>
        <w:t>of illicit flows and ta</w:t>
      </w:r>
      <w:r w:rsidR="003F37DF" w:rsidRPr="00BF3743">
        <w:rPr>
          <w:sz w:val="24"/>
          <w:szCs w:val="24"/>
        </w:rPr>
        <w:t>x policies in the Global S</w:t>
      </w:r>
      <w:r w:rsidRPr="00BF3743">
        <w:rPr>
          <w:sz w:val="24"/>
          <w:szCs w:val="24"/>
        </w:rPr>
        <w:t>outh, strong connections to organizations in key jurisdictions that both made and were affected by related regulations and policies (e.g. the U.S., Europe, Af</w:t>
      </w:r>
      <w:r w:rsidR="00BF3743">
        <w:rPr>
          <w:sz w:val="24"/>
          <w:szCs w:val="24"/>
        </w:rPr>
        <w:t>rica, Latin America, and Asia);</w:t>
      </w:r>
    </w:p>
    <w:p w:rsidR="00BF3743" w:rsidRDefault="004438D5" w:rsidP="009E28EB">
      <w:pPr>
        <w:pStyle w:val="ListParagraph"/>
        <w:numPr>
          <w:ilvl w:val="0"/>
          <w:numId w:val="5"/>
        </w:numPr>
        <w:tabs>
          <w:tab w:val="left" w:pos="3845"/>
        </w:tabs>
        <w:spacing w:after="0" w:line="240" w:lineRule="auto"/>
        <w:jc w:val="both"/>
        <w:rPr>
          <w:sz w:val="24"/>
          <w:szCs w:val="24"/>
        </w:rPr>
      </w:pPr>
      <w:r w:rsidRPr="00BF3743">
        <w:rPr>
          <w:sz w:val="24"/>
          <w:szCs w:val="24"/>
        </w:rPr>
        <w:t>innov</w:t>
      </w:r>
      <w:r w:rsidR="003F37DF" w:rsidRPr="00BF3743">
        <w:rPr>
          <w:sz w:val="24"/>
          <w:szCs w:val="24"/>
        </w:rPr>
        <w:t>ative approaches to mobilizing S</w:t>
      </w:r>
      <w:r w:rsidRPr="00BF3743">
        <w:rPr>
          <w:sz w:val="24"/>
          <w:szCs w:val="24"/>
        </w:rPr>
        <w:t>outhern constituencies around tax policy concerns a</w:t>
      </w:r>
      <w:r w:rsidR="00BF3743">
        <w:rPr>
          <w:sz w:val="24"/>
          <w:szCs w:val="24"/>
        </w:rPr>
        <w:t>nd their impacts</w:t>
      </w:r>
      <w:r w:rsidR="008B360B">
        <w:rPr>
          <w:sz w:val="24"/>
          <w:szCs w:val="24"/>
        </w:rPr>
        <w:t xml:space="preserve"> on development</w:t>
      </w:r>
      <w:r w:rsidR="00BF3743">
        <w:rPr>
          <w:sz w:val="24"/>
          <w:szCs w:val="24"/>
        </w:rPr>
        <w:t>; and</w:t>
      </w:r>
    </w:p>
    <w:p w:rsidR="00BF3743" w:rsidRDefault="003F37DF" w:rsidP="009E28EB">
      <w:pPr>
        <w:pStyle w:val="ListParagraph"/>
        <w:numPr>
          <w:ilvl w:val="0"/>
          <w:numId w:val="5"/>
        </w:numPr>
        <w:tabs>
          <w:tab w:val="left" w:pos="3845"/>
        </w:tabs>
        <w:spacing w:after="0" w:line="240" w:lineRule="auto"/>
        <w:jc w:val="both"/>
        <w:rPr>
          <w:sz w:val="24"/>
          <w:szCs w:val="24"/>
        </w:rPr>
      </w:pPr>
      <w:r w:rsidRPr="00BF3743">
        <w:rPr>
          <w:sz w:val="24"/>
          <w:szCs w:val="24"/>
        </w:rPr>
        <w:t xml:space="preserve">an </w:t>
      </w:r>
      <w:r w:rsidR="004438D5" w:rsidRPr="00BF3743">
        <w:rPr>
          <w:sz w:val="24"/>
          <w:szCs w:val="24"/>
        </w:rPr>
        <w:t>interest in moving beyond dubious quantifications of total illicit outflows to examin</w:t>
      </w:r>
      <w:r w:rsidRPr="00BF3743">
        <w:rPr>
          <w:sz w:val="24"/>
          <w:szCs w:val="24"/>
        </w:rPr>
        <w:t>ing</w:t>
      </w:r>
      <w:r w:rsidR="004438D5" w:rsidRPr="00BF3743">
        <w:rPr>
          <w:sz w:val="24"/>
          <w:szCs w:val="24"/>
        </w:rPr>
        <w:t xml:space="preserve"> the specific kinds</w:t>
      </w:r>
      <w:r w:rsidRPr="00BF3743">
        <w:rPr>
          <w:sz w:val="24"/>
          <w:szCs w:val="24"/>
        </w:rPr>
        <w:t xml:space="preserve"> of</w:t>
      </w:r>
      <w:r w:rsidR="004438D5" w:rsidRPr="00BF3743">
        <w:rPr>
          <w:sz w:val="24"/>
          <w:szCs w:val="24"/>
        </w:rPr>
        <w:t xml:space="preserve"> illicit flows (e.g. trade mispricing</w:t>
      </w:r>
      <w:r w:rsidR="00300868" w:rsidRPr="00BF3743">
        <w:rPr>
          <w:sz w:val="24"/>
          <w:szCs w:val="24"/>
        </w:rPr>
        <w:t xml:space="preserve"> in key industries</w:t>
      </w:r>
      <w:r w:rsidR="004438D5" w:rsidRPr="00BF3743">
        <w:rPr>
          <w:sz w:val="24"/>
          <w:szCs w:val="24"/>
        </w:rPr>
        <w:t>,</w:t>
      </w:r>
      <w:r w:rsidR="004E1105" w:rsidRPr="00BF3743">
        <w:rPr>
          <w:sz w:val="24"/>
          <w:szCs w:val="24"/>
        </w:rPr>
        <w:t xml:space="preserve"> the proceeds of crime or br</w:t>
      </w:r>
      <w:r w:rsidRPr="00BF3743">
        <w:rPr>
          <w:sz w:val="24"/>
          <w:szCs w:val="24"/>
        </w:rPr>
        <w:t>ibery, looting of public assets</w:t>
      </w:r>
      <w:r w:rsidR="004E1105" w:rsidRPr="00BF3743">
        <w:rPr>
          <w:sz w:val="24"/>
          <w:szCs w:val="24"/>
        </w:rPr>
        <w:t>)</w:t>
      </w:r>
      <w:r w:rsidRPr="00BF3743">
        <w:rPr>
          <w:sz w:val="24"/>
          <w:szCs w:val="24"/>
        </w:rPr>
        <w:t xml:space="preserve"> from developing countries, </w:t>
      </w:r>
      <w:r w:rsidR="004438D5" w:rsidRPr="00BF3743">
        <w:rPr>
          <w:sz w:val="24"/>
          <w:szCs w:val="24"/>
        </w:rPr>
        <w:t>their particular channels, impacts</w:t>
      </w:r>
      <w:r w:rsidR="008B360B">
        <w:rPr>
          <w:sz w:val="24"/>
          <w:szCs w:val="24"/>
        </w:rPr>
        <w:t xml:space="preserve"> on development</w:t>
      </w:r>
      <w:r w:rsidR="004438D5" w:rsidRPr="00BF3743">
        <w:rPr>
          <w:sz w:val="24"/>
          <w:szCs w:val="24"/>
        </w:rPr>
        <w:t xml:space="preserve"> and policy implications. </w:t>
      </w:r>
      <w:r w:rsidR="00E17041" w:rsidRPr="00BF3743">
        <w:rPr>
          <w:sz w:val="24"/>
          <w:szCs w:val="24"/>
        </w:rPr>
        <w:t xml:space="preserve"> </w:t>
      </w:r>
    </w:p>
    <w:p w:rsidR="00BF3743" w:rsidRDefault="00BF3743" w:rsidP="009E28EB">
      <w:pPr>
        <w:pStyle w:val="ListParagraph"/>
        <w:tabs>
          <w:tab w:val="left" w:pos="3845"/>
        </w:tabs>
        <w:spacing w:after="0" w:line="240" w:lineRule="auto"/>
        <w:ind w:left="1440"/>
        <w:jc w:val="both"/>
        <w:rPr>
          <w:sz w:val="24"/>
          <w:szCs w:val="24"/>
        </w:rPr>
      </w:pPr>
    </w:p>
    <w:p w:rsidR="00670297" w:rsidRPr="00BF3743" w:rsidRDefault="00E4186C" w:rsidP="009E28EB">
      <w:pPr>
        <w:tabs>
          <w:tab w:val="left" w:pos="3845"/>
        </w:tabs>
        <w:spacing w:after="0" w:line="240" w:lineRule="auto"/>
        <w:jc w:val="both"/>
        <w:rPr>
          <w:sz w:val="24"/>
          <w:szCs w:val="24"/>
        </w:rPr>
      </w:pPr>
      <w:r>
        <w:rPr>
          <w:sz w:val="24"/>
          <w:szCs w:val="24"/>
        </w:rPr>
        <w:t xml:space="preserve">For all of our new field support grantees, FGP’s goal was to strengthen their governance and management where relevant, enhance and diversify their resource base, and provide them with the ability to conduct research, monitoring and advocacy in the US, Europe, East Africa, South Asia and Latin America around a variety of illicit flows and tax policy concerns.  </w:t>
      </w:r>
      <w:r w:rsidR="00E17041" w:rsidRPr="00BF3743">
        <w:rPr>
          <w:sz w:val="24"/>
          <w:szCs w:val="24"/>
        </w:rPr>
        <w:t xml:space="preserve">With these goals in mind, FGP provided </w:t>
      </w:r>
      <w:r w:rsidR="002514D2" w:rsidRPr="00BF3743">
        <w:rPr>
          <w:sz w:val="24"/>
          <w:szCs w:val="24"/>
        </w:rPr>
        <w:t xml:space="preserve">grant </w:t>
      </w:r>
      <w:r w:rsidR="00E17041" w:rsidRPr="00BF3743">
        <w:rPr>
          <w:sz w:val="24"/>
          <w:szCs w:val="24"/>
        </w:rPr>
        <w:t>support to the following actors:</w:t>
      </w:r>
    </w:p>
    <w:p w:rsidR="00941D7A" w:rsidRDefault="00941D7A" w:rsidP="009E28EB">
      <w:pPr>
        <w:tabs>
          <w:tab w:val="left" w:pos="3845"/>
        </w:tabs>
        <w:spacing w:after="0" w:line="240" w:lineRule="auto"/>
        <w:jc w:val="both"/>
        <w:rPr>
          <w:sz w:val="24"/>
          <w:szCs w:val="24"/>
        </w:rPr>
      </w:pPr>
    </w:p>
    <w:tbl>
      <w:tblPr>
        <w:tblStyle w:val="LightList-Accent1"/>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4050"/>
        <w:gridCol w:w="1350"/>
        <w:gridCol w:w="1350"/>
      </w:tblGrid>
      <w:tr w:rsidR="00E17041" w:rsidRPr="003F37DF" w:rsidTr="00941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rsidR="00E17041" w:rsidRPr="003F37DF" w:rsidRDefault="00E17041" w:rsidP="009E28EB">
            <w:pPr>
              <w:jc w:val="both"/>
              <w:rPr>
                <w:rFonts w:cs="Times New Roman"/>
                <w:sz w:val="20"/>
                <w:szCs w:val="20"/>
              </w:rPr>
            </w:pPr>
            <w:r w:rsidRPr="003F37DF">
              <w:rPr>
                <w:rFonts w:cs="Times New Roman"/>
                <w:sz w:val="20"/>
                <w:szCs w:val="20"/>
              </w:rPr>
              <w:t>Grantee</w:t>
            </w:r>
          </w:p>
        </w:tc>
        <w:tc>
          <w:tcPr>
            <w:tcW w:w="4050" w:type="dxa"/>
          </w:tcPr>
          <w:p w:rsidR="00E17041" w:rsidRPr="003F37DF" w:rsidRDefault="00E17041" w:rsidP="009E28EB">
            <w:pPr>
              <w:jc w:val="both"/>
              <w:cnfStyle w:val="100000000000" w:firstRow="1"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Main Objective</w:t>
            </w:r>
          </w:p>
        </w:tc>
        <w:tc>
          <w:tcPr>
            <w:tcW w:w="1350" w:type="dxa"/>
          </w:tcPr>
          <w:p w:rsidR="00E17041" w:rsidRPr="003F37DF" w:rsidRDefault="00E17041" w:rsidP="009E28EB">
            <w:pPr>
              <w:jc w:val="both"/>
              <w:cnfStyle w:val="100000000000" w:firstRow="1"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Amount ($)</w:t>
            </w:r>
          </w:p>
        </w:tc>
        <w:tc>
          <w:tcPr>
            <w:tcW w:w="1350" w:type="dxa"/>
          </w:tcPr>
          <w:p w:rsidR="00E17041" w:rsidRPr="003F37DF" w:rsidRDefault="00E17041" w:rsidP="009E28EB">
            <w:pPr>
              <w:jc w:val="both"/>
              <w:cnfStyle w:val="100000000000" w:firstRow="1"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Term</w:t>
            </w:r>
          </w:p>
        </w:tc>
      </w:tr>
      <w:tr w:rsidR="00E17041" w:rsidRPr="003F37DF" w:rsidTr="00941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Borders>
              <w:top w:val="none" w:sz="0" w:space="0" w:color="auto"/>
              <w:left w:val="none" w:sz="0" w:space="0" w:color="auto"/>
              <w:bottom w:val="none" w:sz="0" w:space="0" w:color="auto"/>
            </w:tcBorders>
          </w:tcPr>
          <w:p w:rsidR="00E17041" w:rsidRPr="003F37DF" w:rsidRDefault="00E17041" w:rsidP="009E28EB">
            <w:pPr>
              <w:jc w:val="both"/>
              <w:rPr>
                <w:rFonts w:cs="Times New Roman"/>
                <w:sz w:val="20"/>
                <w:szCs w:val="20"/>
              </w:rPr>
            </w:pPr>
          </w:p>
        </w:tc>
        <w:tc>
          <w:tcPr>
            <w:tcW w:w="6750" w:type="dxa"/>
            <w:gridSpan w:val="3"/>
            <w:tcBorders>
              <w:top w:val="none" w:sz="0" w:space="0" w:color="auto"/>
              <w:bottom w:val="none" w:sz="0" w:space="0" w:color="auto"/>
              <w:right w:val="none" w:sz="0" w:space="0" w:color="auto"/>
            </w:tcBorders>
          </w:tcPr>
          <w:p w:rsidR="00E17041" w:rsidRPr="003F37DF" w:rsidRDefault="00E17041" w:rsidP="009E28EB">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p>
        </w:tc>
      </w:tr>
      <w:tr w:rsidR="00E17041" w:rsidRPr="003F37DF" w:rsidTr="00941D7A">
        <w:trPr>
          <w:trHeight w:val="1682"/>
        </w:trPr>
        <w:tc>
          <w:tcPr>
            <w:cnfStyle w:val="001000000000" w:firstRow="0" w:lastRow="0" w:firstColumn="1" w:lastColumn="0" w:oddVBand="0" w:evenVBand="0" w:oddHBand="0" w:evenHBand="0" w:firstRowFirstColumn="0" w:firstRowLastColumn="0" w:lastRowFirstColumn="0" w:lastRowLastColumn="0"/>
            <w:tcW w:w="2898" w:type="dxa"/>
          </w:tcPr>
          <w:p w:rsidR="00E17041" w:rsidRPr="003F37DF" w:rsidRDefault="00E17041" w:rsidP="009E28EB">
            <w:pPr>
              <w:jc w:val="both"/>
              <w:rPr>
                <w:rFonts w:cs="Times New Roman"/>
                <w:sz w:val="20"/>
                <w:szCs w:val="20"/>
              </w:rPr>
            </w:pPr>
            <w:r w:rsidRPr="003F37DF">
              <w:rPr>
                <w:rFonts w:cs="Times New Roman"/>
                <w:sz w:val="20"/>
                <w:szCs w:val="20"/>
              </w:rPr>
              <w:t xml:space="preserve">The Center for Global Development </w:t>
            </w:r>
            <w:r w:rsidR="00B633B7" w:rsidRPr="003F37DF">
              <w:rPr>
                <w:rFonts w:cs="Times New Roman"/>
                <w:sz w:val="20"/>
                <w:szCs w:val="20"/>
              </w:rPr>
              <w:t>–</w:t>
            </w:r>
            <w:r w:rsidRPr="003F37DF">
              <w:rPr>
                <w:rFonts w:cs="Times New Roman"/>
                <w:sz w:val="20"/>
                <w:szCs w:val="20"/>
              </w:rPr>
              <w:t xml:space="preserve"> Europe</w:t>
            </w:r>
          </w:p>
        </w:tc>
        <w:tc>
          <w:tcPr>
            <w:tcW w:w="4050" w:type="dxa"/>
          </w:tcPr>
          <w:p w:rsidR="00E17041" w:rsidRPr="003F37DF" w:rsidRDefault="00E17041" w:rsidP="009E28EB">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General support grant to build a new research and policy unit focused on illicit financial flows and effective taxation for development.  Importantly, their research agenda included research on the nature and forms of IFF at the country level to better develop targeted policy recommendations, of which there is a dearth.</w:t>
            </w:r>
          </w:p>
        </w:tc>
        <w:tc>
          <w:tcPr>
            <w:tcW w:w="1350" w:type="dxa"/>
          </w:tcPr>
          <w:p w:rsidR="00E17041" w:rsidRPr="003F37DF" w:rsidRDefault="00E17041" w:rsidP="009E28EB">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400,000</w:t>
            </w:r>
          </w:p>
        </w:tc>
        <w:tc>
          <w:tcPr>
            <w:tcW w:w="1350" w:type="dxa"/>
          </w:tcPr>
          <w:p w:rsidR="00E17041" w:rsidRPr="003F37DF" w:rsidRDefault="00E17041" w:rsidP="009E28EB">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2013 – 2015</w:t>
            </w:r>
          </w:p>
        </w:tc>
      </w:tr>
      <w:tr w:rsidR="00E17041" w:rsidRPr="003F37DF" w:rsidTr="00941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Borders>
              <w:top w:val="none" w:sz="0" w:space="0" w:color="auto"/>
              <w:left w:val="none" w:sz="0" w:space="0" w:color="auto"/>
              <w:bottom w:val="none" w:sz="0" w:space="0" w:color="auto"/>
            </w:tcBorders>
          </w:tcPr>
          <w:p w:rsidR="00E17041" w:rsidRPr="003F37DF" w:rsidRDefault="00E17041" w:rsidP="009E28EB">
            <w:pPr>
              <w:jc w:val="both"/>
              <w:rPr>
                <w:rFonts w:cs="Times New Roman"/>
                <w:sz w:val="20"/>
                <w:szCs w:val="20"/>
              </w:rPr>
            </w:pPr>
            <w:r w:rsidRPr="003F37DF">
              <w:rPr>
                <w:rFonts w:cs="Times New Roman"/>
                <w:sz w:val="20"/>
                <w:szCs w:val="20"/>
              </w:rPr>
              <w:t>The FACT Coalition</w:t>
            </w:r>
          </w:p>
        </w:tc>
        <w:tc>
          <w:tcPr>
            <w:tcW w:w="4050" w:type="dxa"/>
            <w:tcBorders>
              <w:top w:val="none" w:sz="0" w:space="0" w:color="auto"/>
              <w:bottom w:val="none" w:sz="0" w:space="0" w:color="auto"/>
            </w:tcBorders>
          </w:tcPr>
          <w:p w:rsidR="00E17041" w:rsidRPr="003F37DF" w:rsidRDefault="00E17041" w:rsidP="009E28EB">
            <w:pP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3F37DF">
              <w:rPr>
                <w:rFonts w:cs="Times New Roman"/>
                <w:sz w:val="20"/>
                <w:szCs w:val="20"/>
              </w:rPr>
              <w:t>General support grant to undertake direct policy advocacy with relevant stakeholders, public outreach, an</w:t>
            </w:r>
            <w:r w:rsidR="001927C3" w:rsidRPr="003F37DF">
              <w:rPr>
                <w:rFonts w:cs="Times New Roman"/>
                <w:sz w:val="20"/>
                <w:szCs w:val="20"/>
              </w:rPr>
              <w:t>d research with a view to reducing</w:t>
            </w:r>
            <w:r w:rsidRPr="003F37DF">
              <w:rPr>
                <w:rFonts w:cs="Times New Roman"/>
                <w:sz w:val="20"/>
                <w:szCs w:val="20"/>
              </w:rPr>
              <w:t xml:space="preserve"> IFF in the form of corporate tax evasion both in the US and globally.</w:t>
            </w:r>
          </w:p>
        </w:tc>
        <w:tc>
          <w:tcPr>
            <w:tcW w:w="1350" w:type="dxa"/>
            <w:tcBorders>
              <w:top w:val="none" w:sz="0" w:space="0" w:color="auto"/>
              <w:bottom w:val="none" w:sz="0" w:space="0" w:color="auto"/>
            </w:tcBorders>
          </w:tcPr>
          <w:p w:rsidR="00E17041" w:rsidRPr="003F37DF" w:rsidRDefault="00E17041" w:rsidP="009E28EB">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3F37DF">
              <w:rPr>
                <w:rFonts w:cs="Times New Roman"/>
                <w:sz w:val="20"/>
                <w:szCs w:val="20"/>
              </w:rPr>
              <w:t>300,000</w:t>
            </w:r>
          </w:p>
        </w:tc>
        <w:tc>
          <w:tcPr>
            <w:tcW w:w="1350" w:type="dxa"/>
            <w:tcBorders>
              <w:top w:val="none" w:sz="0" w:space="0" w:color="auto"/>
              <w:bottom w:val="none" w:sz="0" w:space="0" w:color="auto"/>
              <w:right w:val="none" w:sz="0" w:space="0" w:color="auto"/>
            </w:tcBorders>
          </w:tcPr>
          <w:p w:rsidR="00E17041" w:rsidRPr="003F37DF" w:rsidRDefault="00E17041" w:rsidP="009E28EB">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3F37DF">
              <w:rPr>
                <w:rFonts w:cs="Times New Roman"/>
                <w:sz w:val="20"/>
                <w:szCs w:val="20"/>
              </w:rPr>
              <w:t>2013 – 2014</w:t>
            </w:r>
          </w:p>
        </w:tc>
      </w:tr>
      <w:tr w:rsidR="00E17041" w:rsidRPr="003F37DF" w:rsidTr="00941D7A">
        <w:tc>
          <w:tcPr>
            <w:cnfStyle w:val="001000000000" w:firstRow="0" w:lastRow="0" w:firstColumn="1" w:lastColumn="0" w:oddVBand="0" w:evenVBand="0" w:oddHBand="0" w:evenHBand="0" w:firstRowFirstColumn="0" w:firstRowLastColumn="0" w:lastRowFirstColumn="0" w:lastRowLastColumn="0"/>
            <w:tcW w:w="2898" w:type="dxa"/>
          </w:tcPr>
          <w:p w:rsidR="00E17041" w:rsidRPr="003F37DF" w:rsidRDefault="00E17041" w:rsidP="009E28EB">
            <w:pPr>
              <w:jc w:val="both"/>
              <w:rPr>
                <w:rFonts w:cs="Times New Roman"/>
                <w:sz w:val="20"/>
                <w:szCs w:val="20"/>
              </w:rPr>
            </w:pPr>
            <w:r w:rsidRPr="003F37DF">
              <w:rPr>
                <w:rFonts w:cs="Times New Roman"/>
                <w:sz w:val="20"/>
                <w:szCs w:val="20"/>
              </w:rPr>
              <w:t>The Financial Transparency Coalition (FTC)</w:t>
            </w:r>
          </w:p>
        </w:tc>
        <w:tc>
          <w:tcPr>
            <w:tcW w:w="4050" w:type="dxa"/>
          </w:tcPr>
          <w:p w:rsidR="00E17041" w:rsidRPr="003F37DF" w:rsidRDefault="00E17041" w:rsidP="009E28EB">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General support grant to support the growth and institutionalization of their regional engagement in Africa, Asia and Latin America by rooting the global coalition’s policy “asks” in the context-specific needs of developing countries; building greater local ownership, awareness and engagement around core policy reforms in these regions; fully integrating the Coalition’s regional work into the larger global coalition’s overall governance and management structures, and building the capacity of the three regional organizations that lead the Coalition’s work in Africa (Tax Justice Network-Africa), Asia (Center for Budget and Governance Accountability)  and Latin America (LATINDADD) to be effective advocates and mobilizers within their regions.</w:t>
            </w:r>
          </w:p>
        </w:tc>
        <w:tc>
          <w:tcPr>
            <w:tcW w:w="1350" w:type="dxa"/>
          </w:tcPr>
          <w:p w:rsidR="00E17041" w:rsidRPr="003F37DF" w:rsidRDefault="00E17041" w:rsidP="009E28EB">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500,000</w:t>
            </w:r>
          </w:p>
        </w:tc>
        <w:tc>
          <w:tcPr>
            <w:tcW w:w="1350" w:type="dxa"/>
          </w:tcPr>
          <w:p w:rsidR="00E17041" w:rsidRPr="003F37DF" w:rsidRDefault="00E17041" w:rsidP="009E28EB">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2013 – 2015</w:t>
            </w:r>
          </w:p>
        </w:tc>
      </w:tr>
      <w:tr w:rsidR="00E17041" w:rsidRPr="003F37DF" w:rsidTr="00941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Borders>
              <w:top w:val="none" w:sz="0" w:space="0" w:color="auto"/>
              <w:left w:val="none" w:sz="0" w:space="0" w:color="auto"/>
              <w:bottom w:val="none" w:sz="0" w:space="0" w:color="auto"/>
            </w:tcBorders>
          </w:tcPr>
          <w:p w:rsidR="00E17041" w:rsidRPr="003F37DF" w:rsidRDefault="00E17041" w:rsidP="009E28EB">
            <w:pPr>
              <w:jc w:val="both"/>
              <w:rPr>
                <w:rFonts w:cs="Times New Roman"/>
                <w:sz w:val="20"/>
                <w:szCs w:val="20"/>
              </w:rPr>
            </w:pPr>
            <w:r w:rsidRPr="003F37DF">
              <w:rPr>
                <w:rFonts w:cs="Times New Roman"/>
                <w:sz w:val="20"/>
                <w:szCs w:val="20"/>
              </w:rPr>
              <w:t>The Human Security Collective</w:t>
            </w:r>
          </w:p>
        </w:tc>
        <w:tc>
          <w:tcPr>
            <w:tcW w:w="4050" w:type="dxa"/>
            <w:tcBorders>
              <w:top w:val="none" w:sz="0" w:space="0" w:color="auto"/>
              <w:bottom w:val="none" w:sz="0" w:space="0" w:color="auto"/>
            </w:tcBorders>
          </w:tcPr>
          <w:p w:rsidR="00E17041" w:rsidRPr="003F37DF" w:rsidRDefault="00E17041" w:rsidP="009E28EB">
            <w:pP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3F37DF">
              <w:rPr>
                <w:rFonts w:cs="Times New Roman"/>
                <w:sz w:val="20"/>
                <w:szCs w:val="20"/>
              </w:rPr>
              <w:t xml:space="preserve">General support grant to advance their work around addressing the negative impacts of international policies on countering terrorist financing, anti-money laundering, and financial transparency on civil society. </w:t>
            </w:r>
          </w:p>
        </w:tc>
        <w:tc>
          <w:tcPr>
            <w:tcW w:w="1350" w:type="dxa"/>
            <w:tcBorders>
              <w:top w:val="none" w:sz="0" w:space="0" w:color="auto"/>
              <w:bottom w:val="none" w:sz="0" w:space="0" w:color="auto"/>
            </w:tcBorders>
          </w:tcPr>
          <w:p w:rsidR="00E17041" w:rsidRPr="003F37DF" w:rsidRDefault="00E17041" w:rsidP="009E28EB">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3F37DF">
              <w:rPr>
                <w:rFonts w:cs="Times New Roman"/>
                <w:sz w:val="20"/>
                <w:szCs w:val="20"/>
              </w:rPr>
              <w:t>200,000</w:t>
            </w:r>
          </w:p>
        </w:tc>
        <w:tc>
          <w:tcPr>
            <w:tcW w:w="1350" w:type="dxa"/>
            <w:tcBorders>
              <w:top w:val="none" w:sz="0" w:space="0" w:color="auto"/>
              <w:bottom w:val="none" w:sz="0" w:space="0" w:color="auto"/>
              <w:right w:val="none" w:sz="0" w:space="0" w:color="auto"/>
            </w:tcBorders>
          </w:tcPr>
          <w:p w:rsidR="00E17041" w:rsidRPr="003F37DF" w:rsidRDefault="00E17041" w:rsidP="009E28EB">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3F37DF">
              <w:rPr>
                <w:rFonts w:cs="Times New Roman"/>
                <w:sz w:val="20"/>
                <w:szCs w:val="20"/>
              </w:rPr>
              <w:t>2013 – 2014</w:t>
            </w:r>
          </w:p>
        </w:tc>
      </w:tr>
      <w:tr w:rsidR="00E17041" w:rsidRPr="003F37DF" w:rsidTr="00941D7A">
        <w:tc>
          <w:tcPr>
            <w:cnfStyle w:val="001000000000" w:firstRow="0" w:lastRow="0" w:firstColumn="1" w:lastColumn="0" w:oddVBand="0" w:evenVBand="0" w:oddHBand="0" w:evenHBand="0" w:firstRowFirstColumn="0" w:firstRowLastColumn="0" w:lastRowFirstColumn="0" w:lastRowLastColumn="0"/>
            <w:tcW w:w="2898" w:type="dxa"/>
          </w:tcPr>
          <w:p w:rsidR="00E17041" w:rsidRPr="003F37DF" w:rsidRDefault="00E17041" w:rsidP="009E28EB">
            <w:pPr>
              <w:jc w:val="both"/>
              <w:rPr>
                <w:rFonts w:cs="Times New Roman"/>
                <w:sz w:val="20"/>
                <w:szCs w:val="20"/>
              </w:rPr>
            </w:pPr>
            <w:r w:rsidRPr="003F37DF">
              <w:rPr>
                <w:rFonts w:cs="Times New Roman"/>
                <w:sz w:val="20"/>
                <w:szCs w:val="20"/>
              </w:rPr>
              <w:t>The Rules</w:t>
            </w:r>
          </w:p>
        </w:tc>
        <w:tc>
          <w:tcPr>
            <w:tcW w:w="4050" w:type="dxa"/>
          </w:tcPr>
          <w:p w:rsidR="00E17041" w:rsidRPr="003F37DF" w:rsidRDefault="00E17041" w:rsidP="009E28EB">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Project support to: (1) fend off highly regressive taxes that would hurt Kenya's poor and draw attention to the government's simultaneous attempts to reduce/eliminate the tax burden on multinational companies and; (2) test new strategies for stimulating broad and effective social mobilization around public resource management concerns, specifically in this case, around taxation and its relationship to development in Kenya.</w:t>
            </w:r>
          </w:p>
        </w:tc>
        <w:tc>
          <w:tcPr>
            <w:tcW w:w="1350" w:type="dxa"/>
          </w:tcPr>
          <w:p w:rsidR="00E17041" w:rsidRPr="003F37DF" w:rsidRDefault="00E17041" w:rsidP="009E28EB">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250,000</w:t>
            </w:r>
          </w:p>
        </w:tc>
        <w:tc>
          <w:tcPr>
            <w:tcW w:w="1350" w:type="dxa"/>
          </w:tcPr>
          <w:p w:rsidR="00E17041" w:rsidRPr="003F37DF" w:rsidRDefault="00E17041" w:rsidP="009E28EB">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2013 – 2014</w:t>
            </w:r>
          </w:p>
        </w:tc>
      </w:tr>
    </w:tbl>
    <w:p w:rsidR="004C7840" w:rsidRDefault="004C7840" w:rsidP="009E28EB">
      <w:pPr>
        <w:tabs>
          <w:tab w:val="left" w:pos="3845"/>
        </w:tabs>
        <w:spacing w:after="0" w:line="240" w:lineRule="auto"/>
        <w:jc w:val="both"/>
        <w:rPr>
          <w:sz w:val="24"/>
          <w:szCs w:val="24"/>
        </w:rPr>
      </w:pPr>
    </w:p>
    <w:p w:rsidR="000656A9" w:rsidRDefault="000656A9" w:rsidP="009E28EB">
      <w:pPr>
        <w:tabs>
          <w:tab w:val="left" w:pos="3845"/>
        </w:tabs>
        <w:spacing w:after="0" w:line="240" w:lineRule="auto"/>
        <w:jc w:val="both"/>
        <w:rPr>
          <w:sz w:val="24"/>
          <w:szCs w:val="24"/>
        </w:rPr>
      </w:pPr>
    </w:p>
    <w:p w:rsidR="00B527E4" w:rsidRDefault="000656A9" w:rsidP="009E28EB">
      <w:pPr>
        <w:tabs>
          <w:tab w:val="left" w:pos="3845"/>
        </w:tabs>
        <w:spacing w:after="0" w:line="240" w:lineRule="auto"/>
        <w:jc w:val="both"/>
        <w:rPr>
          <w:sz w:val="24"/>
          <w:szCs w:val="24"/>
        </w:rPr>
      </w:pPr>
      <w:r>
        <w:rPr>
          <w:sz w:val="24"/>
          <w:szCs w:val="24"/>
        </w:rPr>
        <w:t>Overall, a</w:t>
      </w:r>
      <w:r w:rsidR="000021F4">
        <w:rPr>
          <w:sz w:val="24"/>
          <w:szCs w:val="24"/>
        </w:rPr>
        <w:t>lthough we have only been supporting this field for a year, it is clear that we have helped strengthen the governance and effectiveness of both the FACT Coalition and F</w:t>
      </w:r>
      <w:r>
        <w:rPr>
          <w:sz w:val="24"/>
          <w:szCs w:val="24"/>
        </w:rPr>
        <w:t>TC (</w:t>
      </w:r>
      <w:r w:rsidR="000021F4">
        <w:rPr>
          <w:sz w:val="24"/>
          <w:szCs w:val="24"/>
        </w:rPr>
        <w:t>particularly its Southern membership</w:t>
      </w:r>
      <w:r>
        <w:rPr>
          <w:sz w:val="24"/>
          <w:szCs w:val="24"/>
        </w:rPr>
        <w:t>)</w:t>
      </w:r>
      <w:r w:rsidR="000021F4">
        <w:rPr>
          <w:sz w:val="24"/>
          <w:szCs w:val="24"/>
        </w:rPr>
        <w:t xml:space="preserve">.  </w:t>
      </w:r>
      <w:r w:rsidR="00B527E4">
        <w:rPr>
          <w:sz w:val="24"/>
          <w:szCs w:val="24"/>
        </w:rPr>
        <w:t>Unfortunately, we also experienced a false start with the Rules, who were unable to build out the tax justice movement in Kenya as hoped, as well as the Human Security Collective who, as</w:t>
      </w:r>
      <w:r>
        <w:rPr>
          <w:sz w:val="24"/>
          <w:szCs w:val="24"/>
        </w:rPr>
        <w:t xml:space="preserve"> of</w:t>
      </w:r>
      <w:r w:rsidR="00B527E4">
        <w:rPr>
          <w:sz w:val="24"/>
          <w:szCs w:val="24"/>
        </w:rPr>
        <w:t xml:space="preserve"> yet</w:t>
      </w:r>
      <w:r>
        <w:rPr>
          <w:sz w:val="24"/>
          <w:szCs w:val="24"/>
        </w:rPr>
        <w:t>, still</w:t>
      </w:r>
      <w:r w:rsidR="00B527E4">
        <w:rPr>
          <w:sz w:val="24"/>
          <w:szCs w:val="24"/>
        </w:rPr>
        <w:t xml:space="preserve"> struggle</w:t>
      </w:r>
      <w:r w:rsidR="007949A5">
        <w:rPr>
          <w:sz w:val="24"/>
          <w:szCs w:val="24"/>
        </w:rPr>
        <w:t>s</w:t>
      </w:r>
      <w:r w:rsidR="00B527E4">
        <w:rPr>
          <w:sz w:val="24"/>
          <w:szCs w:val="24"/>
        </w:rPr>
        <w:t xml:space="preserve"> to articulate what concrete policy proposa</w:t>
      </w:r>
      <w:r>
        <w:rPr>
          <w:sz w:val="24"/>
          <w:szCs w:val="24"/>
        </w:rPr>
        <w:t>ls may be adopted to protect at-</w:t>
      </w:r>
      <w:r w:rsidR="00B527E4">
        <w:rPr>
          <w:sz w:val="24"/>
          <w:szCs w:val="24"/>
        </w:rPr>
        <w:t>risk civil society</w:t>
      </w:r>
      <w:r>
        <w:rPr>
          <w:sz w:val="24"/>
          <w:szCs w:val="24"/>
        </w:rPr>
        <w:t xml:space="preserve"> in repressive contexts </w:t>
      </w:r>
      <w:r w:rsidR="007949A5">
        <w:rPr>
          <w:sz w:val="24"/>
          <w:szCs w:val="24"/>
        </w:rPr>
        <w:t>from</w:t>
      </w:r>
      <w:r w:rsidR="00B527E4">
        <w:rPr>
          <w:sz w:val="24"/>
          <w:szCs w:val="24"/>
        </w:rPr>
        <w:t xml:space="preserve"> being targeted by anti-money laundering and counter-terrorism financing legislation.  Our support to CGD-Europe had a positive policy impact in a number of critical fora through contributions to the Mbeki Panel, the G8 agenda on trade, tax, and transparency, the Post-2015 framework and the Tana High Level Forum on Peace and Security in Africa.  However, our expectation that CGD-Europe would carry out much-needed granular research on IFF was not met, and with Alex Cobham’s imminent exit (incidentally to lead TJN’s research unit), it is unclear whether or not CGD’s proposed research agenda under its new director, Vijaya Ramachandran, will continue this work.  </w:t>
      </w:r>
    </w:p>
    <w:p w:rsidR="00F82443" w:rsidRDefault="00F82443" w:rsidP="009E28EB">
      <w:pPr>
        <w:tabs>
          <w:tab w:val="left" w:pos="3845"/>
        </w:tabs>
        <w:spacing w:after="0" w:line="240" w:lineRule="auto"/>
        <w:jc w:val="both"/>
        <w:rPr>
          <w:sz w:val="24"/>
          <w:szCs w:val="24"/>
        </w:rPr>
      </w:pPr>
    </w:p>
    <w:p w:rsidR="005274C9" w:rsidRDefault="00867AE2" w:rsidP="009E28EB">
      <w:pPr>
        <w:tabs>
          <w:tab w:val="left" w:pos="3845"/>
        </w:tabs>
        <w:spacing w:after="0" w:line="240" w:lineRule="auto"/>
        <w:jc w:val="both"/>
        <w:rPr>
          <w:sz w:val="24"/>
          <w:szCs w:val="24"/>
        </w:rPr>
      </w:pPr>
      <w:r>
        <w:rPr>
          <w:sz w:val="24"/>
          <w:szCs w:val="24"/>
        </w:rPr>
        <w:t>On the financing front, FGP has exceeded its expectations in helping diversify the field’s resource base, which has resulted in increased funding commitments by Hewlett, Ford, and Omidyar in FTC, TJN-A, FACT, CBGA, and CGD as well as a commitment to identify other groups and initiatives we can support collectively to strengthen the field (e.g. the Global Alliance for Tax Justice, the nascent campaigning platform that spun off from TJN in 2013, increased tax reporting by independent/investigative journalists, as well as engagement in the</w:t>
      </w:r>
      <w:r w:rsidR="000656A9">
        <w:rPr>
          <w:sz w:val="24"/>
          <w:szCs w:val="24"/>
        </w:rPr>
        <w:t xml:space="preserve"> Post 2015</w:t>
      </w:r>
      <w:r>
        <w:rPr>
          <w:sz w:val="24"/>
          <w:szCs w:val="24"/>
        </w:rPr>
        <w:t xml:space="preserve"> Financing for Development processes).  For example, FGP’s Director made several introductions to Hewlett and Omidyar on FTC’s behalf which has resulted in both of them deciding to provide substantial additional funds to FTC from 2014 onwards, and transformed the Norwegian government from their sole patron to a minority funder in the course of just over a year. It is clear to FGP that for FTC, as well as others such as FACT and CGD, funders seem to find safety </w:t>
      </w:r>
      <w:r w:rsidR="000656A9">
        <w:rPr>
          <w:sz w:val="24"/>
          <w:szCs w:val="24"/>
        </w:rPr>
        <w:t>in</w:t>
      </w:r>
      <w:r>
        <w:rPr>
          <w:sz w:val="24"/>
          <w:szCs w:val="24"/>
        </w:rPr>
        <w:t xml:space="preserve"> numbers on this issue.  Funders have been able to point to OSF’s leadership and engagement to reassure the</w:t>
      </w:r>
      <w:r w:rsidR="000656A9">
        <w:rPr>
          <w:sz w:val="24"/>
          <w:szCs w:val="24"/>
        </w:rPr>
        <w:t>ir leadership</w:t>
      </w:r>
      <w:r>
        <w:rPr>
          <w:sz w:val="24"/>
          <w:szCs w:val="24"/>
        </w:rPr>
        <w:t xml:space="preserve"> about beginning to support work in this area. At one point Hewlett asked if they could use our US illicit flows strategy consultant to provide similar advice to them, and FGP also worked with TAI to </w:t>
      </w:r>
      <w:r w:rsidR="000656A9">
        <w:rPr>
          <w:sz w:val="24"/>
          <w:szCs w:val="24"/>
        </w:rPr>
        <w:t>initiat</w:t>
      </w:r>
      <w:r w:rsidR="005274C9">
        <w:rPr>
          <w:sz w:val="24"/>
          <w:szCs w:val="24"/>
        </w:rPr>
        <w:t>e</w:t>
      </w:r>
      <w:r>
        <w:rPr>
          <w:sz w:val="24"/>
          <w:szCs w:val="24"/>
        </w:rPr>
        <w:t xml:space="preserve"> a global field scoping around illicit flows and tax to help draw in new funders.</w:t>
      </w:r>
      <w:r w:rsidR="008B360B" w:rsidRPr="008B360B">
        <w:rPr>
          <w:sz w:val="24"/>
          <w:szCs w:val="24"/>
        </w:rPr>
        <w:t xml:space="preserve"> </w:t>
      </w:r>
    </w:p>
    <w:p w:rsidR="005274C9" w:rsidRDefault="005274C9" w:rsidP="009E28EB">
      <w:pPr>
        <w:tabs>
          <w:tab w:val="left" w:pos="3845"/>
        </w:tabs>
        <w:spacing w:after="0" w:line="240" w:lineRule="auto"/>
        <w:jc w:val="both"/>
        <w:rPr>
          <w:sz w:val="24"/>
          <w:szCs w:val="24"/>
        </w:rPr>
      </w:pPr>
    </w:p>
    <w:p w:rsidR="00867AE2" w:rsidRDefault="008B360B" w:rsidP="009E28EB">
      <w:pPr>
        <w:tabs>
          <w:tab w:val="left" w:pos="3845"/>
        </w:tabs>
        <w:spacing w:after="0" w:line="240" w:lineRule="auto"/>
        <w:jc w:val="both"/>
        <w:rPr>
          <w:sz w:val="24"/>
          <w:szCs w:val="24"/>
        </w:rPr>
      </w:pPr>
      <w:r>
        <w:rPr>
          <w:sz w:val="24"/>
          <w:szCs w:val="24"/>
        </w:rPr>
        <w:t xml:space="preserve">A </w:t>
      </w:r>
      <w:r w:rsidR="005274C9">
        <w:rPr>
          <w:sz w:val="24"/>
          <w:szCs w:val="24"/>
        </w:rPr>
        <w:t>more detailed</w:t>
      </w:r>
      <w:r>
        <w:rPr>
          <w:sz w:val="24"/>
          <w:szCs w:val="24"/>
        </w:rPr>
        <w:t xml:space="preserve"> assessment of </w:t>
      </w:r>
      <w:r w:rsidR="005274C9">
        <w:rPr>
          <w:sz w:val="24"/>
          <w:szCs w:val="24"/>
        </w:rPr>
        <w:t xml:space="preserve">each of </w:t>
      </w:r>
      <w:r>
        <w:rPr>
          <w:sz w:val="24"/>
          <w:szCs w:val="24"/>
        </w:rPr>
        <w:t>our grantees follows below.</w:t>
      </w:r>
    </w:p>
    <w:p w:rsidR="00B527E4" w:rsidRDefault="00B527E4" w:rsidP="009E28EB">
      <w:pPr>
        <w:tabs>
          <w:tab w:val="left" w:pos="3845"/>
        </w:tabs>
        <w:spacing w:after="0" w:line="240" w:lineRule="auto"/>
        <w:jc w:val="both"/>
        <w:rPr>
          <w:sz w:val="24"/>
          <w:szCs w:val="24"/>
        </w:rPr>
      </w:pPr>
    </w:p>
    <w:p w:rsidR="00BA4565" w:rsidRDefault="00BA4565" w:rsidP="009E28EB">
      <w:pPr>
        <w:tabs>
          <w:tab w:val="left" w:pos="3845"/>
        </w:tabs>
        <w:spacing w:after="0" w:line="240" w:lineRule="auto"/>
        <w:jc w:val="both"/>
        <w:rPr>
          <w:sz w:val="24"/>
          <w:szCs w:val="24"/>
        </w:rPr>
      </w:pPr>
      <w:r>
        <w:rPr>
          <w:b/>
          <w:sz w:val="24"/>
          <w:szCs w:val="24"/>
        </w:rPr>
        <w:t xml:space="preserve">CGD-Europe: </w:t>
      </w:r>
      <w:r w:rsidRPr="002A2CAB">
        <w:rPr>
          <w:sz w:val="24"/>
          <w:szCs w:val="24"/>
        </w:rPr>
        <w:t xml:space="preserve">FGP </w:t>
      </w:r>
      <w:r>
        <w:rPr>
          <w:sz w:val="24"/>
          <w:szCs w:val="24"/>
        </w:rPr>
        <w:t>primarily sought</w:t>
      </w:r>
      <w:r w:rsidRPr="002A2CAB">
        <w:rPr>
          <w:sz w:val="24"/>
          <w:szCs w:val="24"/>
        </w:rPr>
        <w:t xml:space="preserve"> to achieve two main goals through its support for CGD</w:t>
      </w:r>
      <w:r>
        <w:rPr>
          <w:sz w:val="24"/>
          <w:szCs w:val="24"/>
        </w:rPr>
        <w:t>-Europe</w:t>
      </w:r>
      <w:r w:rsidRPr="002A2CAB">
        <w:rPr>
          <w:sz w:val="24"/>
          <w:szCs w:val="24"/>
        </w:rPr>
        <w:t xml:space="preserve">.  Namely, to move the </w:t>
      </w:r>
      <w:r>
        <w:rPr>
          <w:sz w:val="24"/>
          <w:szCs w:val="24"/>
        </w:rPr>
        <w:t xml:space="preserve">research </w:t>
      </w:r>
      <w:r w:rsidRPr="002A2CAB">
        <w:rPr>
          <w:sz w:val="24"/>
          <w:szCs w:val="24"/>
        </w:rPr>
        <w:t xml:space="preserve">debate from quantification of IFF to much needed unpacking of the nature and modalities of these flows, particularly in low income countries, as well as to begin to shift research </w:t>
      </w:r>
      <w:r>
        <w:rPr>
          <w:sz w:val="24"/>
          <w:szCs w:val="24"/>
        </w:rPr>
        <w:t>interest</w:t>
      </w:r>
      <w:r w:rsidRPr="002A2CAB">
        <w:rPr>
          <w:sz w:val="24"/>
          <w:szCs w:val="24"/>
        </w:rPr>
        <w:t xml:space="preserve"> towards other pertinent </w:t>
      </w:r>
      <w:r>
        <w:rPr>
          <w:sz w:val="24"/>
          <w:szCs w:val="24"/>
        </w:rPr>
        <w:t xml:space="preserve">and complex </w:t>
      </w:r>
      <w:r w:rsidRPr="002A2CAB">
        <w:rPr>
          <w:sz w:val="24"/>
          <w:szCs w:val="24"/>
        </w:rPr>
        <w:t>tax policy issues beyond transparency, such as transfer pricing.</w:t>
      </w:r>
      <w:r>
        <w:rPr>
          <w:sz w:val="24"/>
          <w:szCs w:val="24"/>
        </w:rPr>
        <w:t xml:space="preserve">  Although positively responding to policy opportunities that have arisen thus far (and as mentioned above), the impending departure of the research fellow</w:t>
      </w:r>
      <w:r w:rsidR="005274C9">
        <w:rPr>
          <w:sz w:val="24"/>
          <w:szCs w:val="24"/>
        </w:rPr>
        <w:t>, Alex Cobham,</w:t>
      </w:r>
      <w:r>
        <w:rPr>
          <w:sz w:val="24"/>
          <w:szCs w:val="24"/>
        </w:rPr>
        <w:t xml:space="preserve"> whom FGP expected to lead this research</w:t>
      </w:r>
      <w:r w:rsidR="00417F28">
        <w:rPr>
          <w:sz w:val="24"/>
          <w:szCs w:val="24"/>
        </w:rPr>
        <w:t xml:space="preserve"> over the </w:t>
      </w:r>
      <w:r w:rsidR="002A42C9">
        <w:rPr>
          <w:sz w:val="24"/>
          <w:szCs w:val="24"/>
        </w:rPr>
        <w:t>term</w:t>
      </w:r>
      <w:r w:rsidR="00417F28">
        <w:rPr>
          <w:sz w:val="24"/>
          <w:szCs w:val="24"/>
        </w:rPr>
        <w:t xml:space="preserve"> of the grant</w:t>
      </w:r>
      <w:r>
        <w:rPr>
          <w:sz w:val="24"/>
          <w:szCs w:val="24"/>
        </w:rPr>
        <w:t xml:space="preserve">, and the decision by CGD to abandon undertaking disaggregated analysis of IFF due to data limitations has </w:t>
      </w:r>
      <w:r w:rsidR="00417F28">
        <w:rPr>
          <w:sz w:val="24"/>
          <w:szCs w:val="24"/>
        </w:rPr>
        <w:t xml:space="preserve">jeopardized the success of this intervention.  </w:t>
      </w:r>
      <w:r>
        <w:rPr>
          <w:sz w:val="24"/>
          <w:szCs w:val="24"/>
        </w:rPr>
        <w:t xml:space="preserve">Although </w:t>
      </w:r>
      <w:r w:rsidR="00057C4C">
        <w:rPr>
          <w:sz w:val="24"/>
          <w:szCs w:val="24"/>
        </w:rPr>
        <w:t xml:space="preserve">we had a positive first meeting with </w:t>
      </w:r>
      <w:r w:rsidR="005274C9">
        <w:rPr>
          <w:sz w:val="24"/>
          <w:szCs w:val="24"/>
        </w:rPr>
        <w:t xml:space="preserve">Cobham’s </w:t>
      </w:r>
      <w:r w:rsidR="00B46C15">
        <w:rPr>
          <w:sz w:val="24"/>
          <w:szCs w:val="24"/>
        </w:rPr>
        <w:t>successor, Vijaya Ramachandran—a</w:t>
      </w:r>
      <w:r>
        <w:rPr>
          <w:sz w:val="24"/>
          <w:szCs w:val="24"/>
        </w:rPr>
        <w:t xml:space="preserve"> successful applied econometrician with experience with the World Bank</w:t>
      </w:r>
      <w:r w:rsidR="00B46C15">
        <w:rPr>
          <w:sz w:val="24"/>
          <w:szCs w:val="24"/>
        </w:rPr>
        <w:t>—s</w:t>
      </w:r>
      <w:r w:rsidR="00057C4C">
        <w:rPr>
          <w:sz w:val="24"/>
          <w:szCs w:val="24"/>
        </w:rPr>
        <w:t>he lacks expertise</w:t>
      </w:r>
      <w:r>
        <w:rPr>
          <w:sz w:val="24"/>
          <w:szCs w:val="24"/>
        </w:rPr>
        <w:t xml:space="preserve"> in tax and familiarity with this field,</w:t>
      </w:r>
      <w:r w:rsidR="00057C4C">
        <w:rPr>
          <w:sz w:val="24"/>
          <w:szCs w:val="24"/>
        </w:rPr>
        <w:t xml:space="preserve"> and</w:t>
      </w:r>
      <w:r>
        <w:rPr>
          <w:sz w:val="24"/>
          <w:szCs w:val="24"/>
        </w:rPr>
        <w:t xml:space="preserve"> it is unclear if she will ultimately have the capacity to </w:t>
      </w:r>
      <w:r w:rsidR="00057C4C">
        <w:rPr>
          <w:sz w:val="24"/>
          <w:szCs w:val="24"/>
        </w:rPr>
        <w:t>carry this work forward effectively</w:t>
      </w:r>
      <w:r>
        <w:rPr>
          <w:sz w:val="24"/>
          <w:szCs w:val="24"/>
        </w:rPr>
        <w:t xml:space="preserve">. </w:t>
      </w:r>
    </w:p>
    <w:p w:rsidR="00BA4565" w:rsidRDefault="00BA4565" w:rsidP="009E28EB">
      <w:pPr>
        <w:tabs>
          <w:tab w:val="left" w:pos="3845"/>
        </w:tabs>
        <w:spacing w:after="0" w:line="240" w:lineRule="auto"/>
        <w:jc w:val="both"/>
        <w:rPr>
          <w:sz w:val="24"/>
          <w:szCs w:val="24"/>
        </w:rPr>
      </w:pPr>
    </w:p>
    <w:p w:rsidR="00BA4565" w:rsidRPr="002A2CAB" w:rsidRDefault="00BA4565" w:rsidP="009E28EB">
      <w:pPr>
        <w:tabs>
          <w:tab w:val="left" w:pos="3845"/>
        </w:tabs>
        <w:spacing w:after="0" w:line="240" w:lineRule="auto"/>
        <w:jc w:val="both"/>
        <w:rPr>
          <w:b/>
          <w:sz w:val="24"/>
          <w:szCs w:val="24"/>
        </w:rPr>
      </w:pPr>
      <w:r>
        <w:rPr>
          <w:sz w:val="24"/>
          <w:szCs w:val="24"/>
        </w:rPr>
        <w:t xml:space="preserve">From a governance perspective, it is clear that CGD has become well-positioned to effectively lead in this work thanks in large part to Cobham, personally.  It seems that Owen Barder, the Director of CGD-Europe is far less enthusiastic </w:t>
      </w:r>
      <w:r w:rsidR="001212B1">
        <w:rPr>
          <w:sz w:val="24"/>
          <w:szCs w:val="24"/>
        </w:rPr>
        <w:t>about carrying out</w:t>
      </w:r>
      <w:r>
        <w:rPr>
          <w:sz w:val="24"/>
          <w:szCs w:val="24"/>
        </w:rPr>
        <w:t xml:space="preserve"> this research from a developing country perspective, which is a step away from </w:t>
      </w:r>
      <w:r w:rsidR="001D7FF4">
        <w:rPr>
          <w:sz w:val="24"/>
          <w:szCs w:val="24"/>
        </w:rPr>
        <w:t xml:space="preserve">the </w:t>
      </w:r>
      <w:r w:rsidR="001212B1">
        <w:rPr>
          <w:sz w:val="24"/>
          <w:szCs w:val="24"/>
        </w:rPr>
        <w:t xml:space="preserve">organization’s policy niche of advising </w:t>
      </w:r>
      <w:r>
        <w:rPr>
          <w:sz w:val="24"/>
          <w:szCs w:val="24"/>
        </w:rPr>
        <w:t xml:space="preserve">developed countries on the impacts of their research.  Furthermore, Owen’s poor communication of Alex’s transition out of CGD-Europe and </w:t>
      </w:r>
      <w:r w:rsidR="001212B1">
        <w:rPr>
          <w:sz w:val="24"/>
          <w:szCs w:val="24"/>
        </w:rPr>
        <w:t>the fact that they did</w:t>
      </w:r>
      <w:r>
        <w:rPr>
          <w:sz w:val="24"/>
          <w:szCs w:val="24"/>
        </w:rPr>
        <w:t xml:space="preserve"> </w:t>
      </w:r>
      <w:r w:rsidR="001212B1">
        <w:rPr>
          <w:sz w:val="24"/>
          <w:szCs w:val="24"/>
        </w:rPr>
        <w:t>not ultimately</w:t>
      </w:r>
      <w:r>
        <w:rPr>
          <w:sz w:val="24"/>
          <w:szCs w:val="24"/>
        </w:rPr>
        <w:t xml:space="preserve"> </w:t>
      </w:r>
      <w:r w:rsidR="001212B1">
        <w:rPr>
          <w:sz w:val="24"/>
          <w:szCs w:val="24"/>
        </w:rPr>
        <w:t>draw down</w:t>
      </w:r>
      <w:r>
        <w:rPr>
          <w:sz w:val="24"/>
          <w:szCs w:val="24"/>
        </w:rPr>
        <w:t xml:space="preserve"> FGP resources this year</w:t>
      </w:r>
      <w:r w:rsidR="003625C3">
        <w:rPr>
          <w:sz w:val="24"/>
          <w:szCs w:val="24"/>
        </w:rPr>
        <w:t xml:space="preserve"> (albeit due to fundraising successes we helped cultivate)</w:t>
      </w:r>
      <w:r>
        <w:rPr>
          <w:sz w:val="24"/>
          <w:szCs w:val="24"/>
        </w:rPr>
        <w:t>, have raised serio</w:t>
      </w:r>
      <w:r w:rsidR="001212B1">
        <w:rPr>
          <w:sz w:val="24"/>
          <w:szCs w:val="24"/>
        </w:rPr>
        <w:t xml:space="preserve">us management </w:t>
      </w:r>
      <w:r>
        <w:rPr>
          <w:sz w:val="24"/>
          <w:szCs w:val="24"/>
        </w:rPr>
        <w:t>concerns</w:t>
      </w:r>
      <w:r w:rsidR="003625C3">
        <w:rPr>
          <w:sz w:val="24"/>
          <w:szCs w:val="24"/>
        </w:rPr>
        <w:t xml:space="preserve">. Overall, these combined concerns </w:t>
      </w:r>
      <w:r>
        <w:rPr>
          <w:sz w:val="24"/>
          <w:szCs w:val="24"/>
        </w:rPr>
        <w:t xml:space="preserve">have led us to question whether or not we </w:t>
      </w:r>
      <w:r w:rsidR="00417F28">
        <w:rPr>
          <w:sz w:val="24"/>
          <w:szCs w:val="24"/>
        </w:rPr>
        <w:t>should</w:t>
      </w:r>
      <w:r>
        <w:rPr>
          <w:sz w:val="24"/>
          <w:szCs w:val="24"/>
        </w:rPr>
        <w:t xml:space="preserve"> continue to support CGD-Europe</w:t>
      </w:r>
      <w:r w:rsidR="003625C3">
        <w:rPr>
          <w:sz w:val="24"/>
          <w:szCs w:val="24"/>
        </w:rPr>
        <w:t xml:space="preserve">, and </w:t>
      </w:r>
      <w:r w:rsidR="005274C9">
        <w:rPr>
          <w:sz w:val="24"/>
          <w:szCs w:val="24"/>
        </w:rPr>
        <w:t xml:space="preserve">instead </w:t>
      </w:r>
      <w:r w:rsidR="003625C3">
        <w:rPr>
          <w:sz w:val="24"/>
          <w:szCs w:val="24"/>
        </w:rPr>
        <w:t>consider</w:t>
      </w:r>
      <w:r>
        <w:rPr>
          <w:sz w:val="24"/>
          <w:szCs w:val="24"/>
        </w:rPr>
        <w:t xml:space="preserve"> follow</w:t>
      </w:r>
      <w:r w:rsidR="003625C3">
        <w:rPr>
          <w:sz w:val="24"/>
          <w:szCs w:val="24"/>
        </w:rPr>
        <w:t>ing</w:t>
      </w:r>
      <w:r>
        <w:rPr>
          <w:sz w:val="24"/>
          <w:szCs w:val="24"/>
        </w:rPr>
        <w:t xml:space="preserve"> Cobham to TJN, where he expects to continue to carry out </w:t>
      </w:r>
      <w:r w:rsidR="00417F28">
        <w:rPr>
          <w:sz w:val="24"/>
          <w:szCs w:val="24"/>
        </w:rPr>
        <w:t>the</w:t>
      </w:r>
      <w:r>
        <w:rPr>
          <w:sz w:val="24"/>
          <w:szCs w:val="24"/>
        </w:rPr>
        <w:t xml:space="preserve"> research agenda he began at CGD-Europe.   </w:t>
      </w:r>
    </w:p>
    <w:p w:rsidR="00BA4565" w:rsidRPr="002A2CAB" w:rsidRDefault="00BA4565" w:rsidP="009E28EB">
      <w:pPr>
        <w:tabs>
          <w:tab w:val="left" w:pos="3845"/>
        </w:tabs>
        <w:spacing w:after="0" w:line="240" w:lineRule="auto"/>
        <w:jc w:val="both"/>
        <w:rPr>
          <w:b/>
          <w:sz w:val="24"/>
          <w:szCs w:val="24"/>
        </w:rPr>
      </w:pPr>
    </w:p>
    <w:p w:rsidR="0074616F" w:rsidRDefault="00BA4565" w:rsidP="009E28EB">
      <w:pPr>
        <w:tabs>
          <w:tab w:val="left" w:pos="3845"/>
        </w:tabs>
        <w:spacing w:after="0" w:line="240" w:lineRule="auto"/>
        <w:jc w:val="both"/>
        <w:rPr>
          <w:rFonts w:cs="Times New Roman"/>
          <w:sz w:val="24"/>
          <w:szCs w:val="24"/>
        </w:rPr>
      </w:pPr>
      <w:r w:rsidRPr="006E1836">
        <w:rPr>
          <w:b/>
          <w:sz w:val="24"/>
          <w:szCs w:val="24"/>
        </w:rPr>
        <w:t>FACT:</w:t>
      </w:r>
      <w:r w:rsidR="00D35611">
        <w:rPr>
          <w:b/>
          <w:sz w:val="24"/>
          <w:szCs w:val="24"/>
        </w:rPr>
        <w:t xml:space="preserve"> </w:t>
      </w:r>
      <w:r w:rsidR="00D35611" w:rsidRPr="00A00765">
        <w:rPr>
          <w:sz w:val="24"/>
          <w:szCs w:val="24"/>
        </w:rPr>
        <w:t>FGP support for</w:t>
      </w:r>
      <w:r w:rsidR="00D35611" w:rsidRPr="00A00765">
        <w:rPr>
          <w:b/>
          <w:sz w:val="24"/>
          <w:szCs w:val="24"/>
        </w:rPr>
        <w:t xml:space="preserve"> </w:t>
      </w:r>
      <w:r w:rsidR="00D35611" w:rsidRPr="00A00765">
        <w:rPr>
          <w:sz w:val="24"/>
          <w:szCs w:val="24"/>
        </w:rPr>
        <w:t xml:space="preserve">the FACT Coalition was driven by our goal </w:t>
      </w:r>
      <w:r w:rsidRPr="00A00765">
        <w:rPr>
          <w:sz w:val="24"/>
          <w:szCs w:val="24"/>
        </w:rPr>
        <w:t xml:space="preserve">to strengthen </w:t>
      </w:r>
      <w:r w:rsidR="00D35611" w:rsidRPr="00A00765">
        <w:rPr>
          <w:sz w:val="24"/>
          <w:szCs w:val="24"/>
        </w:rPr>
        <w:t xml:space="preserve">a </w:t>
      </w:r>
      <w:r w:rsidRPr="00A00765">
        <w:rPr>
          <w:sz w:val="24"/>
          <w:szCs w:val="24"/>
        </w:rPr>
        <w:t>US community of advocates and researchers in key jurisdiction</w:t>
      </w:r>
      <w:r w:rsidR="00EE6B6D" w:rsidRPr="00A00765">
        <w:rPr>
          <w:sz w:val="24"/>
          <w:szCs w:val="24"/>
        </w:rPr>
        <w:t xml:space="preserve">s </w:t>
      </w:r>
      <w:r w:rsidRPr="00A00765">
        <w:rPr>
          <w:sz w:val="24"/>
          <w:szCs w:val="24"/>
        </w:rPr>
        <w:t xml:space="preserve">with global influence </w:t>
      </w:r>
      <w:r w:rsidR="004D6FE3">
        <w:rPr>
          <w:sz w:val="24"/>
          <w:szCs w:val="24"/>
        </w:rPr>
        <w:t>on</w:t>
      </w:r>
      <w:r w:rsidR="00D35611" w:rsidRPr="00A00765">
        <w:rPr>
          <w:sz w:val="24"/>
          <w:szCs w:val="24"/>
        </w:rPr>
        <w:t xml:space="preserve"> the</w:t>
      </w:r>
      <w:r w:rsidRPr="00A00765">
        <w:rPr>
          <w:sz w:val="24"/>
          <w:szCs w:val="24"/>
        </w:rPr>
        <w:t xml:space="preserve"> field</w:t>
      </w:r>
      <w:r w:rsidR="00D35611" w:rsidRPr="00A00765">
        <w:rPr>
          <w:sz w:val="24"/>
          <w:szCs w:val="24"/>
        </w:rPr>
        <w:t xml:space="preserve"> (</w:t>
      </w:r>
      <w:r w:rsidR="00EE6B6D" w:rsidRPr="00A00765">
        <w:rPr>
          <w:sz w:val="24"/>
          <w:szCs w:val="24"/>
        </w:rPr>
        <w:t>e.g.</w:t>
      </w:r>
      <w:r w:rsidR="00D35611" w:rsidRPr="00A00765">
        <w:rPr>
          <w:sz w:val="24"/>
          <w:szCs w:val="24"/>
        </w:rPr>
        <w:t xml:space="preserve"> TJN, GFI, Global Witness</w:t>
      </w:r>
      <w:r w:rsidR="00E47629" w:rsidRPr="00A00765">
        <w:rPr>
          <w:sz w:val="24"/>
          <w:szCs w:val="24"/>
        </w:rPr>
        <w:t>, Jubilee USA</w:t>
      </w:r>
      <w:r w:rsidR="00D35611" w:rsidRPr="00A00765">
        <w:rPr>
          <w:sz w:val="24"/>
          <w:szCs w:val="24"/>
        </w:rPr>
        <w:t>)</w:t>
      </w:r>
      <w:r w:rsidRPr="00A00765">
        <w:rPr>
          <w:sz w:val="24"/>
          <w:szCs w:val="24"/>
        </w:rPr>
        <w:t xml:space="preserve"> </w:t>
      </w:r>
      <w:r w:rsidR="00EE6B6D" w:rsidRPr="00A00765">
        <w:rPr>
          <w:sz w:val="24"/>
          <w:szCs w:val="24"/>
        </w:rPr>
        <w:t xml:space="preserve">who would be well placed to raise awareness </w:t>
      </w:r>
      <w:r w:rsidR="007F42B4" w:rsidRPr="00A00765">
        <w:rPr>
          <w:sz w:val="24"/>
          <w:szCs w:val="24"/>
        </w:rPr>
        <w:t>and advocate for policy reform in</w:t>
      </w:r>
      <w:r w:rsidRPr="00A00765">
        <w:rPr>
          <w:sz w:val="24"/>
          <w:szCs w:val="24"/>
        </w:rPr>
        <w:t xml:space="preserve"> </w:t>
      </w:r>
      <w:r w:rsidR="00EE6B6D" w:rsidRPr="00A00765">
        <w:rPr>
          <w:sz w:val="24"/>
          <w:szCs w:val="24"/>
        </w:rPr>
        <w:t xml:space="preserve">the </w:t>
      </w:r>
      <w:r w:rsidRPr="00A00765">
        <w:rPr>
          <w:sz w:val="24"/>
          <w:szCs w:val="24"/>
        </w:rPr>
        <w:t xml:space="preserve">US around </w:t>
      </w:r>
      <w:r w:rsidR="00EE6B6D" w:rsidRPr="00A00765">
        <w:rPr>
          <w:sz w:val="24"/>
          <w:szCs w:val="24"/>
        </w:rPr>
        <w:t>issues such as anonymous shell companies</w:t>
      </w:r>
      <w:r w:rsidR="007F42B4" w:rsidRPr="00A00765">
        <w:rPr>
          <w:sz w:val="24"/>
          <w:szCs w:val="24"/>
        </w:rPr>
        <w:t>, country</w:t>
      </w:r>
      <w:r w:rsidRPr="00A00765">
        <w:rPr>
          <w:sz w:val="24"/>
          <w:szCs w:val="24"/>
        </w:rPr>
        <w:t xml:space="preserve">-by-country reporting as well as </w:t>
      </w:r>
      <w:r w:rsidR="007F42B4" w:rsidRPr="00A00765">
        <w:rPr>
          <w:sz w:val="24"/>
          <w:szCs w:val="24"/>
        </w:rPr>
        <w:t xml:space="preserve">push the US to play a more robust role on these issues </w:t>
      </w:r>
      <w:r w:rsidRPr="00A00765">
        <w:rPr>
          <w:sz w:val="24"/>
          <w:szCs w:val="24"/>
        </w:rPr>
        <w:t xml:space="preserve">within key </w:t>
      </w:r>
      <w:r w:rsidR="00E47629" w:rsidRPr="00A00765">
        <w:rPr>
          <w:sz w:val="24"/>
          <w:szCs w:val="24"/>
        </w:rPr>
        <w:t>international fora</w:t>
      </w:r>
      <w:r w:rsidRPr="00A00765">
        <w:rPr>
          <w:sz w:val="24"/>
          <w:szCs w:val="24"/>
        </w:rPr>
        <w:t xml:space="preserve"> like </w:t>
      </w:r>
      <w:r w:rsidR="007F42B4" w:rsidRPr="00A00765">
        <w:rPr>
          <w:sz w:val="24"/>
          <w:szCs w:val="24"/>
        </w:rPr>
        <w:t xml:space="preserve">the OECD.  </w:t>
      </w:r>
      <w:r w:rsidR="004D6FE3">
        <w:rPr>
          <w:rFonts w:cs="Times New Roman"/>
          <w:sz w:val="24"/>
          <w:szCs w:val="24"/>
        </w:rPr>
        <w:t>U</w:t>
      </w:r>
      <w:r w:rsidR="006966F3" w:rsidRPr="00A00765">
        <w:rPr>
          <w:rFonts w:cs="Times New Roman"/>
          <w:sz w:val="24"/>
          <w:szCs w:val="24"/>
        </w:rPr>
        <w:t xml:space="preserve">nlike other US civil society organisations/groups, FACT considers the global impact of the US tax regime and vice versa, and </w:t>
      </w:r>
      <w:r w:rsidR="004D6FE3" w:rsidRPr="00A00765">
        <w:rPr>
          <w:rFonts w:cs="Times New Roman"/>
          <w:sz w:val="24"/>
          <w:szCs w:val="24"/>
        </w:rPr>
        <w:t>is</w:t>
      </w:r>
      <w:r w:rsidR="006966F3" w:rsidRPr="00A00765">
        <w:rPr>
          <w:rFonts w:cs="Times New Roman"/>
          <w:sz w:val="24"/>
          <w:szCs w:val="24"/>
        </w:rPr>
        <w:t xml:space="preserve"> positioning </w:t>
      </w:r>
      <w:r w:rsidR="004D6FE3">
        <w:rPr>
          <w:rFonts w:cs="Times New Roman"/>
          <w:sz w:val="24"/>
          <w:szCs w:val="24"/>
        </w:rPr>
        <w:t xml:space="preserve">itself to do more of this </w:t>
      </w:r>
      <w:r w:rsidR="006966F3" w:rsidRPr="00A00765">
        <w:rPr>
          <w:rFonts w:cs="Times New Roman"/>
          <w:sz w:val="24"/>
          <w:szCs w:val="24"/>
        </w:rPr>
        <w:t>in the year ahead.</w:t>
      </w:r>
      <w:r w:rsidR="007F42B4" w:rsidRPr="00A00765">
        <w:rPr>
          <w:sz w:val="24"/>
          <w:szCs w:val="24"/>
        </w:rPr>
        <w:t xml:space="preserve"> </w:t>
      </w:r>
      <w:r w:rsidR="006966F3" w:rsidRPr="00A00765">
        <w:rPr>
          <w:sz w:val="24"/>
          <w:szCs w:val="24"/>
        </w:rPr>
        <w:t xml:space="preserve">The FACT Coalition’s </w:t>
      </w:r>
      <w:r w:rsidR="00D35611" w:rsidRPr="00A00765">
        <w:rPr>
          <w:rFonts w:cs="Times New Roman"/>
          <w:sz w:val="24"/>
          <w:szCs w:val="24"/>
        </w:rPr>
        <w:t>main strength</w:t>
      </w:r>
      <w:r w:rsidR="00862FC1">
        <w:rPr>
          <w:rFonts w:cs="Times New Roman"/>
          <w:sz w:val="24"/>
          <w:szCs w:val="24"/>
        </w:rPr>
        <w:t xml:space="preserve"> this past year</w:t>
      </w:r>
      <w:r w:rsidR="00D35611" w:rsidRPr="00A00765">
        <w:rPr>
          <w:rFonts w:cs="Times New Roman"/>
          <w:sz w:val="24"/>
          <w:szCs w:val="24"/>
        </w:rPr>
        <w:t xml:space="preserve"> </w:t>
      </w:r>
      <w:r w:rsidR="007F42B4" w:rsidRPr="00A00765">
        <w:rPr>
          <w:rFonts w:cs="Times New Roman"/>
          <w:sz w:val="24"/>
          <w:szCs w:val="24"/>
        </w:rPr>
        <w:t>has been its ability to</w:t>
      </w:r>
      <w:r w:rsidR="00ED0204" w:rsidRPr="00A00765">
        <w:rPr>
          <w:rFonts w:cs="Times New Roman"/>
          <w:sz w:val="24"/>
          <w:szCs w:val="24"/>
        </w:rPr>
        <w:t xml:space="preserve"> </w:t>
      </w:r>
      <w:r w:rsidR="00862FC1">
        <w:rPr>
          <w:rFonts w:cs="Times New Roman"/>
          <w:sz w:val="24"/>
          <w:szCs w:val="24"/>
        </w:rPr>
        <w:t>increasingly</w:t>
      </w:r>
      <w:r w:rsidR="007F42B4" w:rsidRPr="00A00765">
        <w:rPr>
          <w:rFonts w:cs="Times New Roman"/>
          <w:sz w:val="24"/>
          <w:szCs w:val="24"/>
        </w:rPr>
        <w:t xml:space="preserve"> </w:t>
      </w:r>
      <w:r w:rsidR="002D445C" w:rsidRPr="00A00765">
        <w:rPr>
          <w:rFonts w:cs="Times New Roman"/>
          <w:sz w:val="24"/>
          <w:szCs w:val="24"/>
        </w:rPr>
        <w:t>mainstream</w:t>
      </w:r>
      <w:r w:rsidR="00D35611" w:rsidRPr="00A00765">
        <w:rPr>
          <w:rFonts w:cs="Times New Roman"/>
          <w:sz w:val="24"/>
          <w:szCs w:val="24"/>
        </w:rPr>
        <w:t xml:space="preserve"> </w:t>
      </w:r>
      <w:r w:rsidR="005274C9">
        <w:rPr>
          <w:rFonts w:cs="Times New Roman"/>
          <w:sz w:val="24"/>
          <w:szCs w:val="24"/>
        </w:rPr>
        <w:t xml:space="preserve">into public discourse </w:t>
      </w:r>
      <w:r w:rsidR="00D35611" w:rsidRPr="00A00765">
        <w:rPr>
          <w:rFonts w:cs="Times New Roman"/>
          <w:sz w:val="24"/>
          <w:szCs w:val="24"/>
        </w:rPr>
        <w:t xml:space="preserve">the adverse impact of </w:t>
      </w:r>
      <w:r w:rsidR="00FF25D9" w:rsidRPr="00A00765">
        <w:rPr>
          <w:rFonts w:cs="Times New Roman"/>
          <w:sz w:val="24"/>
          <w:szCs w:val="24"/>
        </w:rPr>
        <w:t xml:space="preserve">the use of </w:t>
      </w:r>
      <w:r w:rsidR="00D35611" w:rsidRPr="00A00765">
        <w:rPr>
          <w:rFonts w:cs="Times New Roman"/>
          <w:sz w:val="24"/>
          <w:szCs w:val="24"/>
        </w:rPr>
        <w:t xml:space="preserve">financial secrecy jurisdictions/tax havens (both </w:t>
      </w:r>
      <w:r w:rsidR="002D445C" w:rsidRPr="00A00765">
        <w:rPr>
          <w:rFonts w:cs="Times New Roman"/>
          <w:sz w:val="24"/>
          <w:szCs w:val="24"/>
        </w:rPr>
        <w:t xml:space="preserve">within and outside the US) </w:t>
      </w:r>
      <w:r w:rsidR="00FF25D9" w:rsidRPr="00A00765">
        <w:rPr>
          <w:rFonts w:cs="Times New Roman"/>
          <w:sz w:val="24"/>
          <w:szCs w:val="24"/>
        </w:rPr>
        <w:t>by MNCs</w:t>
      </w:r>
      <w:r w:rsidR="004D6FE3">
        <w:rPr>
          <w:rFonts w:cs="Times New Roman"/>
          <w:sz w:val="24"/>
          <w:szCs w:val="24"/>
        </w:rPr>
        <w:t>,</w:t>
      </w:r>
      <w:r w:rsidR="00FF25D9" w:rsidRPr="00A00765">
        <w:rPr>
          <w:rFonts w:cs="Times New Roman"/>
          <w:sz w:val="24"/>
          <w:szCs w:val="24"/>
        </w:rPr>
        <w:t xml:space="preserve"> </w:t>
      </w:r>
      <w:r w:rsidR="007F42B4" w:rsidRPr="00A00765">
        <w:rPr>
          <w:rFonts w:cs="Times New Roman"/>
          <w:sz w:val="24"/>
          <w:szCs w:val="24"/>
        </w:rPr>
        <w:t>as well as indicate what reforms are necessary to reverse these trends</w:t>
      </w:r>
      <w:r w:rsidR="002D445C" w:rsidRPr="00A00765">
        <w:rPr>
          <w:rFonts w:cs="Times New Roman"/>
          <w:sz w:val="24"/>
          <w:szCs w:val="24"/>
        </w:rPr>
        <w:t xml:space="preserve"> through </w:t>
      </w:r>
      <w:r w:rsidR="006966F3" w:rsidRPr="00A00765">
        <w:rPr>
          <w:rFonts w:cs="Times New Roman"/>
          <w:sz w:val="24"/>
          <w:szCs w:val="24"/>
        </w:rPr>
        <w:t xml:space="preserve">its </w:t>
      </w:r>
      <w:r w:rsidR="00ED0204" w:rsidRPr="00A00765">
        <w:rPr>
          <w:rFonts w:cs="Times New Roman"/>
          <w:sz w:val="24"/>
          <w:szCs w:val="24"/>
        </w:rPr>
        <w:t xml:space="preserve">public outreach and </w:t>
      </w:r>
      <w:r w:rsidR="002D445C" w:rsidRPr="00A00765">
        <w:rPr>
          <w:rFonts w:cs="Times New Roman"/>
          <w:sz w:val="24"/>
          <w:szCs w:val="24"/>
        </w:rPr>
        <w:t xml:space="preserve">trainings involving small businesses, faith-based and public interest groups, and other civil society organisations in Washington DC.  </w:t>
      </w:r>
    </w:p>
    <w:p w:rsidR="0074616F" w:rsidRDefault="0074616F" w:rsidP="009E28EB">
      <w:pPr>
        <w:tabs>
          <w:tab w:val="left" w:pos="3845"/>
        </w:tabs>
        <w:spacing w:after="0" w:line="240" w:lineRule="auto"/>
        <w:jc w:val="both"/>
        <w:rPr>
          <w:rFonts w:cs="Times New Roman"/>
          <w:sz w:val="24"/>
          <w:szCs w:val="24"/>
        </w:rPr>
      </w:pPr>
    </w:p>
    <w:p w:rsidR="001F5A9C" w:rsidRPr="00C31AFA" w:rsidRDefault="00ED0204" w:rsidP="009E28EB">
      <w:pPr>
        <w:tabs>
          <w:tab w:val="left" w:pos="3845"/>
        </w:tabs>
        <w:spacing w:after="0" w:line="240" w:lineRule="auto"/>
        <w:jc w:val="both"/>
        <w:rPr>
          <w:rFonts w:ascii="Calibri" w:hAnsi="Calibri"/>
          <w:sz w:val="24"/>
          <w:szCs w:val="24"/>
        </w:rPr>
      </w:pPr>
      <w:r w:rsidRPr="00A00765">
        <w:rPr>
          <w:rFonts w:cs="Times New Roman"/>
          <w:sz w:val="24"/>
          <w:szCs w:val="24"/>
        </w:rPr>
        <w:t xml:space="preserve">Equally, and primarily through </w:t>
      </w:r>
      <w:r w:rsidR="00C31AFA">
        <w:rPr>
          <w:rFonts w:cs="Times New Roman"/>
          <w:sz w:val="24"/>
          <w:szCs w:val="24"/>
        </w:rPr>
        <w:t xml:space="preserve">Jubilee USA, </w:t>
      </w:r>
      <w:r w:rsidRPr="00A00765">
        <w:rPr>
          <w:rFonts w:cs="Times New Roman"/>
          <w:sz w:val="24"/>
          <w:szCs w:val="24"/>
        </w:rPr>
        <w:t>GFI and Global Witness’ leadership, the FACT Coalition has engaged with policymakers on these issues at the federal level and increasingly at the state level (particularly Global Witness</w:t>
      </w:r>
      <w:r w:rsidR="001F5A9C" w:rsidRPr="00A00765">
        <w:rPr>
          <w:rFonts w:cs="Times New Roman"/>
          <w:sz w:val="24"/>
          <w:szCs w:val="24"/>
        </w:rPr>
        <w:t xml:space="preserve"> and US PIRG</w:t>
      </w:r>
      <w:r w:rsidRPr="00A00765">
        <w:rPr>
          <w:rFonts w:cs="Times New Roman"/>
          <w:sz w:val="24"/>
          <w:szCs w:val="24"/>
        </w:rPr>
        <w:t xml:space="preserve">).  </w:t>
      </w:r>
      <w:r w:rsidR="002D445C" w:rsidRPr="00A00765">
        <w:rPr>
          <w:rFonts w:cs="Times New Roman"/>
          <w:sz w:val="24"/>
          <w:szCs w:val="24"/>
        </w:rPr>
        <w:t xml:space="preserve">One of its main successes </w:t>
      </w:r>
      <w:r w:rsidR="00FF25D9" w:rsidRPr="00A00765">
        <w:rPr>
          <w:rFonts w:cs="Times New Roman"/>
          <w:sz w:val="24"/>
          <w:szCs w:val="24"/>
        </w:rPr>
        <w:t xml:space="preserve">this year has been </w:t>
      </w:r>
      <w:r w:rsidR="00D2674B">
        <w:rPr>
          <w:rFonts w:cs="Times New Roman"/>
          <w:sz w:val="24"/>
          <w:szCs w:val="24"/>
        </w:rPr>
        <w:t xml:space="preserve">stimulating a debate in Delaware about its role as </w:t>
      </w:r>
      <w:r w:rsidR="00862FC1">
        <w:rPr>
          <w:rFonts w:cs="Times New Roman"/>
          <w:sz w:val="24"/>
          <w:szCs w:val="24"/>
        </w:rPr>
        <w:t xml:space="preserve">a corporate secrecy haven.  In mid-2014, FACT succeeded in getting one-half of the Delaware’s State Legislature to sign a letter to Delaware’s Congressional Delegation urging them to support bi-partisan legislation around anonymous shell company transparency. </w:t>
      </w:r>
      <w:r w:rsidR="00D2674B">
        <w:rPr>
          <w:rFonts w:cs="Times New Roman"/>
          <w:sz w:val="24"/>
          <w:szCs w:val="24"/>
        </w:rPr>
        <w:t xml:space="preserve">  </w:t>
      </w:r>
      <w:r w:rsidR="004D6FE3">
        <w:rPr>
          <w:rFonts w:cs="Times New Roman"/>
          <w:sz w:val="24"/>
          <w:szCs w:val="24"/>
        </w:rPr>
        <w:t>FACT members</w:t>
      </w:r>
      <w:r w:rsidR="00862FC1">
        <w:rPr>
          <w:rFonts w:cs="Times New Roman"/>
          <w:sz w:val="24"/>
          <w:szCs w:val="24"/>
        </w:rPr>
        <w:t xml:space="preserve"> also</w:t>
      </w:r>
      <w:r w:rsidR="004D6FE3">
        <w:rPr>
          <w:rFonts w:cs="Times New Roman"/>
          <w:sz w:val="24"/>
          <w:szCs w:val="24"/>
        </w:rPr>
        <w:t xml:space="preserve"> helped move</w:t>
      </w:r>
      <w:r w:rsidR="00C31AFA" w:rsidRPr="00C31AFA">
        <w:rPr>
          <w:rFonts w:ascii="Calibri" w:hAnsi="Calibri"/>
          <w:sz w:val="24"/>
          <w:szCs w:val="24"/>
        </w:rPr>
        <w:t xml:space="preserve"> Senator </w:t>
      </w:r>
      <w:r w:rsidR="004D6FE3">
        <w:rPr>
          <w:rFonts w:ascii="Calibri" w:hAnsi="Calibri"/>
          <w:sz w:val="24"/>
          <w:szCs w:val="24"/>
        </w:rPr>
        <w:t xml:space="preserve">Carl </w:t>
      </w:r>
      <w:r w:rsidR="00C31AFA" w:rsidRPr="00C31AFA">
        <w:rPr>
          <w:rFonts w:ascii="Calibri" w:hAnsi="Calibri"/>
          <w:sz w:val="24"/>
          <w:szCs w:val="24"/>
        </w:rPr>
        <w:t>Levin to re-intr</w:t>
      </w:r>
      <w:r w:rsidR="001D7FF4">
        <w:rPr>
          <w:rFonts w:ascii="Calibri" w:hAnsi="Calibri"/>
          <w:sz w:val="24"/>
          <w:szCs w:val="24"/>
        </w:rPr>
        <w:t>oduce the Stop Tax Haven Abuse A</w:t>
      </w:r>
      <w:r w:rsidR="00C31AFA" w:rsidRPr="00C31AFA">
        <w:rPr>
          <w:rFonts w:ascii="Calibri" w:hAnsi="Calibri"/>
          <w:sz w:val="24"/>
          <w:szCs w:val="24"/>
        </w:rPr>
        <w:t xml:space="preserve">ct, a critical piece of legislation to improve financial transparency and curb corporate tax avoidance.  </w:t>
      </w:r>
      <w:r w:rsidR="00862FC1">
        <w:rPr>
          <w:rFonts w:ascii="Calibri" w:hAnsi="Calibri"/>
          <w:sz w:val="24"/>
          <w:szCs w:val="24"/>
        </w:rPr>
        <w:t xml:space="preserve">For example, </w:t>
      </w:r>
      <w:r w:rsidR="00C31AFA" w:rsidRPr="00C31AFA">
        <w:rPr>
          <w:rFonts w:ascii="Calibri" w:hAnsi="Calibri"/>
          <w:sz w:val="24"/>
          <w:szCs w:val="24"/>
        </w:rPr>
        <w:t>Jubilee</w:t>
      </w:r>
      <w:r w:rsidR="004D6FE3">
        <w:rPr>
          <w:rFonts w:ascii="Calibri" w:hAnsi="Calibri"/>
          <w:sz w:val="24"/>
          <w:szCs w:val="24"/>
        </w:rPr>
        <w:t xml:space="preserve"> USA</w:t>
      </w:r>
      <w:r w:rsidR="00677721">
        <w:rPr>
          <w:rFonts w:ascii="Calibri" w:hAnsi="Calibri"/>
          <w:sz w:val="24"/>
          <w:szCs w:val="24"/>
        </w:rPr>
        <w:t xml:space="preserve"> </w:t>
      </w:r>
      <w:r w:rsidR="00C31AFA" w:rsidRPr="00C31AFA">
        <w:rPr>
          <w:rFonts w:ascii="Calibri" w:hAnsi="Calibri"/>
          <w:sz w:val="24"/>
          <w:szCs w:val="24"/>
        </w:rPr>
        <w:t>mobilized 5,000 supporters to write their legislators to support the bill.</w:t>
      </w:r>
      <w:r w:rsidR="00C31AFA">
        <w:rPr>
          <w:rFonts w:ascii="Calibri" w:hAnsi="Calibri"/>
          <w:sz w:val="24"/>
          <w:szCs w:val="24"/>
        </w:rPr>
        <w:t xml:space="preserve"> </w:t>
      </w:r>
      <w:r w:rsidR="004D6FE3">
        <w:rPr>
          <w:rFonts w:cs="Times New Roman"/>
          <w:sz w:val="24"/>
          <w:szCs w:val="24"/>
        </w:rPr>
        <w:t>One</w:t>
      </w:r>
      <w:r w:rsidR="00DF1404" w:rsidRPr="00C31AFA">
        <w:rPr>
          <w:rFonts w:cs="Times New Roman"/>
          <w:sz w:val="24"/>
          <w:szCs w:val="24"/>
        </w:rPr>
        <w:t xml:space="preserve"> of the coalition’s key weakness</w:t>
      </w:r>
      <w:r w:rsidR="00677721">
        <w:rPr>
          <w:rFonts w:cs="Times New Roman"/>
          <w:sz w:val="24"/>
          <w:szCs w:val="24"/>
        </w:rPr>
        <w:t>es</w:t>
      </w:r>
      <w:r w:rsidR="00DF1404" w:rsidRPr="00C31AFA">
        <w:rPr>
          <w:rFonts w:cs="Times New Roman"/>
          <w:sz w:val="24"/>
          <w:szCs w:val="24"/>
        </w:rPr>
        <w:t xml:space="preserve"> is they are less impactful in framing/shaping the tax policy field in the US beyond the narrow set of issues </w:t>
      </w:r>
      <w:r w:rsidR="00677721">
        <w:rPr>
          <w:rFonts w:cs="Times New Roman"/>
          <w:sz w:val="24"/>
          <w:szCs w:val="24"/>
        </w:rPr>
        <w:t xml:space="preserve">with which </w:t>
      </w:r>
      <w:r w:rsidR="00DF1404" w:rsidRPr="00C31AFA">
        <w:rPr>
          <w:rFonts w:cs="Times New Roman"/>
          <w:sz w:val="24"/>
          <w:szCs w:val="24"/>
        </w:rPr>
        <w:t>they</w:t>
      </w:r>
      <w:r w:rsidR="00DF1404" w:rsidRPr="00A00765">
        <w:rPr>
          <w:rFonts w:cs="Times New Roman"/>
          <w:sz w:val="24"/>
          <w:szCs w:val="24"/>
        </w:rPr>
        <w:t xml:space="preserve"> are concerned.  This is evidenced in the lack of their </w:t>
      </w:r>
      <w:r w:rsidR="00A00765">
        <w:rPr>
          <w:rFonts w:cs="Times New Roman"/>
          <w:sz w:val="24"/>
          <w:szCs w:val="24"/>
        </w:rPr>
        <w:t>reflection</w:t>
      </w:r>
      <w:r w:rsidR="00DF1404" w:rsidRPr="00A00765">
        <w:rPr>
          <w:rFonts w:cs="Times New Roman"/>
          <w:sz w:val="24"/>
          <w:szCs w:val="24"/>
        </w:rPr>
        <w:t xml:space="preserve"> </w:t>
      </w:r>
      <w:r w:rsidR="00A00765">
        <w:rPr>
          <w:rFonts w:cs="Times New Roman"/>
          <w:sz w:val="24"/>
          <w:szCs w:val="24"/>
        </w:rPr>
        <w:t xml:space="preserve">on the extent to which </w:t>
      </w:r>
      <w:r w:rsidR="00DF1404" w:rsidRPr="00A00765">
        <w:rPr>
          <w:rFonts w:cs="Times New Roman"/>
          <w:sz w:val="24"/>
          <w:szCs w:val="24"/>
        </w:rPr>
        <w:t xml:space="preserve">FATCA, which came into effect earlier this year (and which the OECD’s automatic exchange of information standard borrows heavily from), marks progress towards realizing their goals, particularly on the issue of beneficial ownership, at least from a US perspective.  </w:t>
      </w:r>
    </w:p>
    <w:p w:rsidR="001F5A9C" w:rsidRPr="00A00765" w:rsidRDefault="001F5A9C" w:rsidP="009E28EB">
      <w:pPr>
        <w:tabs>
          <w:tab w:val="left" w:pos="3845"/>
        </w:tabs>
        <w:spacing w:after="0" w:line="240" w:lineRule="auto"/>
        <w:jc w:val="both"/>
        <w:rPr>
          <w:rFonts w:cs="Times New Roman"/>
          <w:sz w:val="24"/>
          <w:szCs w:val="24"/>
        </w:rPr>
      </w:pPr>
    </w:p>
    <w:p w:rsidR="0074616F" w:rsidRDefault="006966F3" w:rsidP="009E28EB">
      <w:pPr>
        <w:tabs>
          <w:tab w:val="left" w:pos="3845"/>
        </w:tabs>
        <w:spacing w:after="0" w:line="240" w:lineRule="auto"/>
        <w:jc w:val="both"/>
        <w:rPr>
          <w:rFonts w:cs="Times New Roman"/>
          <w:sz w:val="24"/>
          <w:szCs w:val="24"/>
        </w:rPr>
      </w:pPr>
      <w:r w:rsidRPr="00A00765">
        <w:rPr>
          <w:rFonts w:cs="Times New Roman"/>
          <w:sz w:val="24"/>
          <w:szCs w:val="24"/>
        </w:rPr>
        <w:t>Over the past year, FGP support has enabled the FACT Coalition to be more efficient (e.g. through more effective</w:t>
      </w:r>
      <w:r w:rsidR="001F5A9C" w:rsidRPr="00A00765">
        <w:rPr>
          <w:rFonts w:cs="Times New Roman"/>
          <w:sz w:val="24"/>
          <w:szCs w:val="24"/>
        </w:rPr>
        <w:t xml:space="preserve"> coordination</w:t>
      </w:r>
      <w:r w:rsidRPr="00A00765">
        <w:rPr>
          <w:rFonts w:cs="Times New Roman"/>
          <w:sz w:val="24"/>
          <w:szCs w:val="24"/>
        </w:rPr>
        <w:t xml:space="preserve"> of </w:t>
      </w:r>
      <w:r w:rsidR="001F5A9C" w:rsidRPr="00A00765">
        <w:rPr>
          <w:rFonts w:cs="Times New Roman"/>
          <w:sz w:val="24"/>
          <w:szCs w:val="24"/>
        </w:rPr>
        <w:t xml:space="preserve">FACT resources and </w:t>
      </w:r>
      <w:r w:rsidRPr="00A00765">
        <w:rPr>
          <w:rFonts w:cs="Times New Roman"/>
          <w:sz w:val="24"/>
          <w:szCs w:val="24"/>
        </w:rPr>
        <w:t>their media communications strategy)</w:t>
      </w:r>
      <w:r w:rsidR="00862FC1">
        <w:rPr>
          <w:rFonts w:cs="Times New Roman"/>
          <w:sz w:val="24"/>
          <w:szCs w:val="24"/>
        </w:rPr>
        <w:t>,</w:t>
      </w:r>
      <w:r w:rsidRPr="00A00765">
        <w:rPr>
          <w:rFonts w:cs="Times New Roman"/>
          <w:sz w:val="24"/>
          <w:szCs w:val="24"/>
        </w:rPr>
        <w:t xml:space="preserve"> </w:t>
      </w:r>
      <w:r w:rsidR="001F5A9C" w:rsidRPr="00A00765">
        <w:rPr>
          <w:rFonts w:cs="Times New Roman"/>
          <w:sz w:val="24"/>
          <w:szCs w:val="24"/>
        </w:rPr>
        <w:t>foster more collaboration through enabling joint research opportunities</w:t>
      </w:r>
      <w:r w:rsidRPr="00A00765">
        <w:rPr>
          <w:rFonts w:cs="Times New Roman"/>
          <w:sz w:val="24"/>
          <w:szCs w:val="24"/>
        </w:rPr>
        <w:t xml:space="preserve"> (e.g. Citizens for Tax Justice and US PIRG’s ‘Offshore  Shell Games Report”)</w:t>
      </w:r>
      <w:r w:rsidR="001F5A9C" w:rsidRPr="00A00765">
        <w:rPr>
          <w:rFonts w:cs="Times New Roman"/>
          <w:sz w:val="24"/>
          <w:szCs w:val="24"/>
        </w:rPr>
        <w:t xml:space="preserve">, and enhance member outreach.  One of </w:t>
      </w:r>
      <w:r w:rsidR="00862FC1">
        <w:rPr>
          <w:rFonts w:cs="Times New Roman"/>
          <w:sz w:val="24"/>
          <w:szCs w:val="24"/>
        </w:rPr>
        <w:t xml:space="preserve">the Executive Director, </w:t>
      </w:r>
      <w:r w:rsidR="001F5A9C" w:rsidRPr="00A00765">
        <w:rPr>
          <w:rFonts w:cs="Times New Roman"/>
          <w:sz w:val="24"/>
          <w:szCs w:val="24"/>
        </w:rPr>
        <w:t>Nicole Tichon’s</w:t>
      </w:r>
      <w:r w:rsidR="00862FC1">
        <w:rPr>
          <w:rFonts w:cs="Times New Roman"/>
          <w:sz w:val="24"/>
          <w:szCs w:val="24"/>
        </w:rPr>
        <w:t>,</w:t>
      </w:r>
      <w:r w:rsidR="001F5A9C" w:rsidRPr="00A00765">
        <w:rPr>
          <w:rFonts w:cs="Times New Roman"/>
          <w:sz w:val="24"/>
          <w:szCs w:val="24"/>
        </w:rPr>
        <w:t xml:space="preserve"> main successes </w:t>
      </w:r>
      <w:r w:rsidR="00862FC1">
        <w:rPr>
          <w:rFonts w:cs="Times New Roman"/>
          <w:sz w:val="24"/>
          <w:szCs w:val="24"/>
        </w:rPr>
        <w:t>has been</w:t>
      </w:r>
      <w:r w:rsidR="001F5A9C" w:rsidRPr="00A00765">
        <w:rPr>
          <w:rFonts w:cs="Times New Roman"/>
          <w:sz w:val="24"/>
          <w:szCs w:val="24"/>
        </w:rPr>
        <w:t xml:space="preserve"> her ability to ensure effective collaboration amongst coalition members and ‘raise the flag’ for the coalition over and above individual member interests.  Given her impending departure</w:t>
      </w:r>
      <w:r w:rsidR="00DF1404" w:rsidRPr="00A00765">
        <w:rPr>
          <w:rFonts w:cs="Times New Roman"/>
          <w:sz w:val="24"/>
          <w:szCs w:val="24"/>
        </w:rPr>
        <w:t>,</w:t>
      </w:r>
      <w:r w:rsidR="00862FC1">
        <w:rPr>
          <w:rFonts w:cs="Times New Roman"/>
          <w:sz w:val="24"/>
          <w:szCs w:val="24"/>
        </w:rPr>
        <w:t xml:space="preserve"> however, </w:t>
      </w:r>
      <w:r w:rsidR="00DF1404" w:rsidRPr="00A00765">
        <w:rPr>
          <w:rFonts w:cs="Times New Roman"/>
          <w:sz w:val="24"/>
          <w:szCs w:val="24"/>
        </w:rPr>
        <w:t>there</w:t>
      </w:r>
      <w:r w:rsidR="001F5A9C" w:rsidRPr="00A00765">
        <w:rPr>
          <w:rFonts w:cs="Times New Roman"/>
          <w:sz w:val="24"/>
          <w:szCs w:val="24"/>
        </w:rPr>
        <w:t xml:space="preserve"> is a risk</w:t>
      </w:r>
      <w:r w:rsidR="00A00765" w:rsidRPr="00A00765">
        <w:rPr>
          <w:rFonts w:cs="Times New Roman"/>
          <w:sz w:val="24"/>
          <w:szCs w:val="24"/>
        </w:rPr>
        <w:t xml:space="preserve"> </w:t>
      </w:r>
      <w:r w:rsidR="001F5A9C" w:rsidRPr="00A00765">
        <w:rPr>
          <w:rFonts w:cs="Times New Roman"/>
          <w:sz w:val="24"/>
          <w:szCs w:val="24"/>
        </w:rPr>
        <w:t xml:space="preserve">that without someone </w:t>
      </w:r>
      <w:r w:rsidR="00961E8D">
        <w:rPr>
          <w:rFonts w:cs="Times New Roman"/>
          <w:sz w:val="24"/>
          <w:szCs w:val="24"/>
        </w:rPr>
        <w:t xml:space="preserve">effectively </w:t>
      </w:r>
      <w:r w:rsidR="001F5A9C" w:rsidRPr="00A00765">
        <w:rPr>
          <w:rFonts w:cs="Times New Roman"/>
          <w:sz w:val="24"/>
          <w:szCs w:val="24"/>
        </w:rPr>
        <w:t xml:space="preserve">playing this role, </w:t>
      </w:r>
      <w:r w:rsidR="00A00765" w:rsidRPr="00A00765">
        <w:rPr>
          <w:rFonts w:cs="Times New Roman"/>
          <w:sz w:val="24"/>
          <w:szCs w:val="24"/>
        </w:rPr>
        <w:t xml:space="preserve">members may draw more attention to their individual concerns </w:t>
      </w:r>
      <w:r w:rsidR="00862FC1">
        <w:rPr>
          <w:rFonts w:cs="Times New Roman"/>
          <w:sz w:val="24"/>
          <w:szCs w:val="24"/>
        </w:rPr>
        <w:t>and fail to realize their collective strength as a coalition</w:t>
      </w:r>
      <w:r w:rsidR="00A00765" w:rsidRPr="00A00765">
        <w:rPr>
          <w:rFonts w:cs="Times New Roman"/>
          <w:sz w:val="24"/>
          <w:szCs w:val="24"/>
        </w:rPr>
        <w:t>.</w:t>
      </w:r>
      <w:r w:rsidR="00A00765">
        <w:rPr>
          <w:rFonts w:cs="Times New Roman"/>
          <w:sz w:val="24"/>
          <w:szCs w:val="24"/>
        </w:rPr>
        <w:t xml:space="preserve">  </w:t>
      </w:r>
      <w:r w:rsidR="00961E8D">
        <w:rPr>
          <w:rFonts w:cs="Times New Roman"/>
          <w:sz w:val="24"/>
          <w:szCs w:val="24"/>
        </w:rPr>
        <w:t>Thus far</w:t>
      </w:r>
      <w:r w:rsidR="00A00765">
        <w:rPr>
          <w:rFonts w:cs="Times New Roman"/>
          <w:sz w:val="24"/>
          <w:szCs w:val="24"/>
        </w:rPr>
        <w:t>, the</w:t>
      </w:r>
      <w:r w:rsidR="000A1D56">
        <w:rPr>
          <w:rFonts w:cs="Times New Roman"/>
          <w:sz w:val="24"/>
          <w:szCs w:val="24"/>
        </w:rPr>
        <w:t>ir leadership</w:t>
      </w:r>
      <w:r w:rsidR="00A00765">
        <w:rPr>
          <w:rFonts w:cs="Times New Roman"/>
          <w:sz w:val="24"/>
          <w:szCs w:val="24"/>
        </w:rPr>
        <w:t xml:space="preserve"> transition process has not raised particular governance or financial concerns</w:t>
      </w:r>
      <w:r w:rsidR="00961E8D">
        <w:rPr>
          <w:rFonts w:cs="Times New Roman"/>
          <w:sz w:val="24"/>
          <w:szCs w:val="24"/>
        </w:rPr>
        <w:t>, however we are mindful that Nicole’s tax knowledge and coalition-building skills are unique and hard to replace, and that she is a key form of glue holding FACT’s work together at present.</w:t>
      </w:r>
    </w:p>
    <w:p w:rsidR="00961E8D" w:rsidRDefault="00961E8D" w:rsidP="009E28EB">
      <w:pPr>
        <w:tabs>
          <w:tab w:val="left" w:pos="3845"/>
        </w:tabs>
        <w:spacing w:after="0" w:line="240" w:lineRule="auto"/>
        <w:jc w:val="both"/>
        <w:rPr>
          <w:b/>
          <w:sz w:val="24"/>
          <w:szCs w:val="24"/>
        </w:rPr>
      </w:pPr>
    </w:p>
    <w:p w:rsidR="00684194" w:rsidRDefault="00C8718A" w:rsidP="009E28EB">
      <w:pPr>
        <w:tabs>
          <w:tab w:val="left" w:pos="3845"/>
        </w:tabs>
        <w:spacing w:after="0" w:line="240" w:lineRule="auto"/>
        <w:jc w:val="both"/>
        <w:rPr>
          <w:sz w:val="24"/>
          <w:szCs w:val="24"/>
        </w:rPr>
      </w:pPr>
      <w:r>
        <w:rPr>
          <w:b/>
          <w:sz w:val="24"/>
          <w:szCs w:val="24"/>
        </w:rPr>
        <w:t>The Financial Transparency Coalition (FTC)</w:t>
      </w:r>
      <w:r w:rsidRPr="006661DF">
        <w:rPr>
          <w:b/>
          <w:sz w:val="24"/>
          <w:szCs w:val="24"/>
        </w:rPr>
        <w:t>:</w:t>
      </w:r>
      <w:r>
        <w:rPr>
          <w:sz w:val="24"/>
          <w:szCs w:val="24"/>
        </w:rPr>
        <w:t xml:space="preserve">  FTC started off several years ago as a primarily northern based task force of CSOs including Global Witness and Global Financial Integrity that succeeded in helping raise the profile of illicit financial flows within the US and Europe but suffered from </w:t>
      </w:r>
      <w:r w:rsidR="00FB011D">
        <w:rPr>
          <w:sz w:val="24"/>
          <w:szCs w:val="24"/>
        </w:rPr>
        <w:t xml:space="preserve">a </w:t>
      </w:r>
      <w:r>
        <w:rPr>
          <w:sz w:val="24"/>
          <w:szCs w:val="24"/>
        </w:rPr>
        <w:t>lack of repr</w:t>
      </w:r>
      <w:r w:rsidR="00383BCA">
        <w:rPr>
          <w:sz w:val="24"/>
          <w:szCs w:val="24"/>
        </w:rPr>
        <w:t>esentation and buy-in from the G</w:t>
      </w:r>
      <w:r>
        <w:rPr>
          <w:sz w:val="24"/>
          <w:szCs w:val="24"/>
        </w:rPr>
        <w:t>lo</w:t>
      </w:r>
      <w:r w:rsidR="00383BCA">
        <w:rPr>
          <w:sz w:val="24"/>
          <w:szCs w:val="24"/>
        </w:rPr>
        <w:t>bal S</w:t>
      </w:r>
      <w:r>
        <w:rPr>
          <w:sz w:val="24"/>
          <w:szCs w:val="24"/>
        </w:rPr>
        <w:t xml:space="preserve">outh. FGP began engaging with FTC right as a talented new Coordinator, Porter McConnell, was attempting to completely restructure their governance and management to become more inclusive and regionally grounded in low-income countries affected by illicit flows and tax </w:t>
      </w:r>
      <w:r w:rsidR="0074616F">
        <w:rPr>
          <w:sz w:val="24"/>
          <w:szCs w:val="24"/>
        </w:rPr>
        <w:t>concerns</w:t>
      </w:r>
      <w:r>
        <w:rPr>
          <w:sz w:val="24"/>
          <w:szCs w:val="24"/>
        </w:rPr>
        <w:t xml:space="preserve">.  </w:t>
      </w:r>
      <w:r w:rsidR="00383BCA">
        <w:rPr>
          <w:sz w:val="24"/>
          <w:szCs w:val="24"/>
        </w:rPr>
        <w:t>The founding members</w:t>
      </w:r>
      <w:r>
        <w:rPr>
          <w:sz w:val="24"/>
          <w:szCs w:val="24"/>
        </w:rPr>
        <w:t xml:space="preserve"> had created a more equitable and diverse </w:t>
      </w:r>
      <w:r w:rsidR="00383BCA">
        <w:rPr>
          <w:sz w:val="24"/>
          <w:szCs w:val="24"/>
        </w:rPr>
        <w:t>structure, with three regional affiliates in Kenya, India and Peru respectively, but they still controlled all central funds and were</w:t>
      </w:r>
      <w:r>
        <w:rPr>
          <w:sz w:val="24"/>
          <w:szCs w:val="24"/>
        </w:rPr>
        <w:t xml:space="preserve"> reluctant to p</w:t>
      </w:r>
      <w:r w:rsidR="00383BCA">
        <w:rPr>
          <w:sz w:val="24"/>
          <w:szCs w:val="24"/>
        </w:rPr>
        <w:t xml:space="preserve">rioritize regional work.  </w:t>
      </w:r>
      <w:r w:rsidR="00131070">
        <w:rPr>
          <w:sz w:val="24"/>
          <w:szCs w:val="24"/>
        </w:rPr>
        <w:t xml:space="preserve">In late 2013, </w:t>
      </w:r>
      <w:r w:rsidR="000A1D56">
        <w:rPr>
          <w:sz w:val="24"/>
          <w:szCs w:val="24"/>
        </w:rPr>
        <w:t>Julie decided to provide</w:t>
      </w:r>
      <w:r>
        <w:rPr>
          <w:sz w:val="24"/>
          <w:szCs w:val="24"/>
        </w:rPr>
        <w:t xml:space="preserve"> several hundred thousand dollars in general support funds over two years </w:t>
      </w:r>
      <w:r w:rsidR="00131070">
        <w:rPr>
          <w:sz w:val="24"/>
          <w:szCs w:val="24"/>
        </w:rPr>
        <w:t xml:space="preserve">to FTC </w:t>
      </w:r>
      <w:r>
        <w:rPr>
          <w:sz w:val="24"/>
          <w:szCs w:val="24"/>
        </w:rPr>
        <w:t xml:space="preserve">with agreement from the coalition that these funds would go exclusively towards resourcing these regional members and strengthening </w:t>
      </w:r>
      <w:r w:rsidR="00131070">
        <w:rPr>
          <w:sz w:val="24"/>
          <w:szCs w:val="24"/>
        </w:rPr>
        <w:t>FTC’s</w:t>
      </w:r>
      <w:r>
        <w:rPr>
          <w:sz w:val="24"/>
          <w:szCs w:val="24"/>
        </w:rPr>
        <w:t xml:space="preserve"> base in the South—a real coup for the Coordinator as well as the Southern organizations.</w:t>
      </w:r>
      <w:r w:rsidR="00684194">
        <w:rPr>
          <w:sz w:val="24"/>
          <w:szCs w:val="24"/>
        </w:rPr>
        <w:t xml:space="preserve">  </w:t>
      </w:r>
    </w:p>
    <w:p w:rsidR="00684194" w:rsidRDefault="00684194" w:rsidP="009E28EB">
      <w:pPr>
        <w:tabs>
          <w:tab w:val="left" w:pos="3845"/>
        </w:tabs>
        <w:spacing w:after="0" w:line="240" w:lineRule="auto"/>
        <w:jc w:val="both"/>
        <w:rPr>
          <w:sz w:val="24"/>
          <w:szCs w:val="24"/>
        </w:rPr>
      </w:pPr>
    </w:p>
    <w:p w:rsidR="003D5036" w:rsidRDefault="00C8718A" w:rsidP="009E28EB">
      <w:pPr>
        <w:tabs>
          <w:tab w:val="left" w:pos="3845"/>
        </w:tabs>
        <w:spacing w:after="0" w:line="240" w:lineRule="auto"/>
        <w:jc w:val="both"/>
        <w:rPr>
          <w:sz w:val="24"/>
          <w:szCs w:val="24"/>
        </w:rPr>
      </w:pPr>
      <w:r>
        <w:rPr>
          <w:sz w:val="24"/>
          <w:szCs w:val="24"/>
        </w:rPr>
        <w:t xml:space="preserve">While FTC’s </w:t>
      </w:r>
      <w:r w:rsidR="00FB011D">
        <w:rPr>
          <w:sz w:val="24"/>
          <w:szCs w:val="24"/>
        </w:rPr>
        <w:t>EU Advisor based in Brussels</w:t>
      </w:r>
      <w:r>
        <w:rPr>
          <w:sz w:val="24"/>
          <w:szCs w:val="24"/>
        </w:rPr>
        <w:t xml:space="preserve"> and several key members (e.g. Global Witness) have played a central role in achieving several European legislative victories over the past year—including the EU anti-money laundering directive</w:t>
      </w:r>
      <w:r w:rsidR="00767EFD">
        <w:rPr>
          <w:sz w:val="24"/>
          <w:szCs w:val="24"/>
        </w:rPr>
        <w:t xml:space="preserve"> – to include provision for beneficial ownership disclosure</w:t>
      </w:r>
      <w:r>
        <w:rPr>
          <w:sz w:val="24"/>
          <w:szCs w:val="24"/>
        </w:rPr>
        <w:t>—the regional affiliates</w:t>
      </w:r>
      <w:r w:rsidR="00FB011D">
        <w:rPr>
          <w:sz w:val="24"/>
          <w:szCs w:val="24"/>
        </w:rPr>
        <w:t xml:space="preserve"> </w:t>
      </w:r>
      <w:r w:rsidR="00684194">
        <w:rPr>
          <w:sz w:val="24"/>
          <w:szCs w:val="24"/>
        </w:rPr>
        <w:t xml:space="preserve">have </w:t>
      </w:r>
      <w:r w:rsidR="00767EFD">
        <w:rPr>
          <w:sz w:val="24"/>
          <w:szCs w:val="24"/>
        </w:rPr>
        <w:t xml:space="preserve">not </w:t>
      </w:r>
      <w:r w:rsidR="0000052B">
        <w:rPr>
          <w:sz w:val="24"/>
          <w:szCs w:val="24"/>
        </w:rPr>
        <w:t xml:space="preserve">as yet </w:t>
      </w:r>
      <w:r w:rsidR="00767EFD">
        <w:rPr>
          <w:sz w:val="24"/>
          <w:szCs w:val="24"/>
        </w:rPr>
        <w:t xml:space="preserve">played </w:t>
      </w:r>
      <w:r w:rsidR="0000052B">
        <w:rPr>
          <w:sz w:val="24"/>
          <w:szCs w:val="24"/>
        </w:rPr>
        <w:t>similar</w:t>
      </w:r>
      <w:r w:rsidR="00767EFD">
        <w:rPr>
          <w:sz w:val="24"/>
          <w:szCs w:val="24"/>
        </w:rPr>
        <w:t xml:space="preserve"> role</w:t>
      </w:r>
      <w:r w:rsidR="0000052B">
        <w:rPr>
          <w:sz w:val="24"/>
          <w:szCs w:val="24"/>
        </w:rPr>
        <w:t>s</w:t>
      </w:r>
      <w:r w:rsidR="00767EFD">
        <w:rPr>
          <w:sz w:val="24"/>
          <w:szCs w:val="24"/>
        </w:rPr>
        <w:t xml:space="preserve"> in </w:t>
      </w:r>
      <w:r w:rsidR="00BB0CF0">
        <w:rPr>
          <w:sz w:val="24"/>
          <w:szCs w:val="24"/>
        </w:rPr>
        <w:t xml:space="preserve">successfully </w:t>
      </w:r>
      <w:r w:rsidR="00767EFD">
        <w:rPr>
          <w:sz w:val="24"/>
          <w:szCs w:val="24"/>
        </w:rPr>
        <w:t xml:space="preserve">advocating for </w:t>
      </w:r>
      <w:r w:rsidR="001D7FF4">
        <w:rPr>
          <w:sz w:val="24"/>
          <w:szCs w:val="24"/>
        </w:rPr>
        <w:t>similar</w:t>
      </w:r>
      <w:r w:rsidR="00767EFD">
        <w:rPr>
          <w:sz w:val="24"/>
          <w:szCs w:val="24"/>
        </w:rPr>
        <w:t xml:space="preserve"> </w:t>
      </w:r>
      <w:r w:rsidR="00131070">
        <w:rPr>
          <w:sz w:val="24"/>
          <w:szCs w:val="24"/>
        </w:rPr>
        <w:t xml:space="preserve">policy </w:t>
      </w:r>
      <w:r w:rsidR="00BB0CF0">
        <w:rPr>
          <w:sz w:val="24"/>
          <w:szCs w:val="24"/>
        </w:rPr>
        <w:t>measures</w:t>
      </w:r>
      <w:r w:rsidR="00767EFD">
        <w:rPr>
          <w:sz w:val="24"/>
          <w:szCs w:val="24"/>
        </w:rPr>
        <w:t>, but have instead focused on</w:t>
      </w:r>
      <w:r w:rsidR="00D90248">
        <w:rPr>
          <w:sz w:val="24"/>
          <w:szCs w:val="24"/>
        </w:rPr>
        <w:t xml:space="preserve"> build</w:t>
      </w:r>
      <w:r w:rsidR="00767EFD">
        <w:rPr>
          <w:sz w:val="24"/>
          <w:szCs w:val="24"/>
        </w:rPr>
        <w:t>ing</w:t>
      </w:r>
      <w:r w:rsidR="00D90248">
        <w:rPr>
          <w:sz w:val="24"/>
          <w:szCs w:val="24"/>
        </w:rPr>
        <w:t xml:space="preserve"> broader constituencies </w:t>
      </w:r>
      <w:r w:rsidR="00767EFD">
        <w:rPr>
          <w:sz w:val="24"/>
          <w:szCs w:val="24"/>
        </w:rPr>
        <w:t xml:space="preserve">and civic space to engage in </w:t>
      </w:r>
      <w:r w:rsidR="00D90248">
        <w:rPr>
          <w:sz w:val="24"/>
          <w:szCs w:val="24"/>
        </w:rPr>
        <w:t>tax and IFF.  For example,</w:t>
      </w:r>
      <w:r w:rsidR="00131070">
        <w:rPr>
          <w:sz w:val="24"/>
          <w:szCs w:val="24"/>
        </w:rPr>
        <w:t xml:space="preserve"> FGP support helped</w:t>
      </w:r>
      <w:r w:rsidR="00D90248">
        <w:rPr>
          <w:sz w:val="24"/>
          <w:szCs w:val="24"/>
        </w:rPr>
        <w:t xml:space="preserve"> Latindadd, the Peruvi</w:t>
      </w:r>
      <w:r w:rsidR="00131070">
        <w:rPr>
          <w:sz w:val="24"/>
          <w:szCs w:val="24"/>
        </w:rPr>
        <w:t>an-based regional member, host</w:t>
      </w:r>
      <w:r w:rsidR="00D90248">
        <w:rPr>
          <w:sz w:val="24"/>
          <w:szCs w:val="24"/>
        </w:rPr>
        <w:t xml:space="preserve"> the coalition’s annual conference</w:t>
      </w:r>
      <w:r w:rsidR="00131070">
        <w:rPr>
          <w:sz w:val="24"/>
          <w:szCs w:val="24"/>
        </w:rPr>
        <w:t>,</w:t>
      </w:r>
      <w:r w:rsidR="00D90248">
        <w:rPr>
          <w:sz w:val="24"/>
          <w:szCs w:val="24"/>
        </w:rPr>
        <w:t xml:space="preserve"> </w:t>
      </w:r>
      <w:r w:rsidR="00767EFD">
        <w:rPr>
          <w:sz w:val="24"/>
          <w:szCs w:val="24"/>
        </w:rPr>
        <w:t xml:space="preserve">and as a result </w:t>
      </w:r>
      <w:r w:rsidR="00572FE9">
        <w:rPr>
          <w:sz w:val="24"/>
          <w:szCs w:val="24"/>
        </w:rPr>
        <w:t xml:space="preserve">successfully </w:t>
      </w:r>
      <w:r w:rsidR="00D90248">
        <w:rPr>
          <w:sz w:val="24"/>
          <w:szCs w:val="24"/>
        </w:rPr>
        <w:t>engage for the first time with 15 journalists from 10 Latin American countries on these issues</w:t>
      </w:r>
      <w:r w:rsidR="00BB0CF0">
        <w:rPr>
          <w:sz w:val="24"/>
          <w:szCs w:val="24"/>
        </w:rPr>
        <w:t xml:space="preserve"> (money laundering being a lively ‘hook’)</w:t>
      </w:r>
      <w:r w:rsidR="00D90248">
        <w:rPr>
          <w:sz w:val="24"/>
          <w:szCs w:val="24"/>
        </w:rPr>
        <w:t xml:space="preserve">, as well as </w:t>
      </w:r>
      <w:r w:rsidR="00767EFD">
        <w:rPr>
          <w:sz w:val="24"/>
          <w:szCs w:val="24"/>
        </w:rPr>
        <w:t>secure</w:t>
      </w:r>
      <w:r w:rsidR="00D90248">
        <w:rPr>
          <w:sz w:val="24"/>
          <w:szCs w:val="24"/>
        </w:rPr>
        <w:t xml:space="preserve"> </w:t>
      </w:r>
      <w:r w:rsidR="00131070">
        <w:rPr>
          <w:sz w:val="24"/>
          <w:szCs w:val="24"/>
        </w:rPr>
        <w:t xml:space="preserve">an </w:t>
      </w:r>
      <w:r w:rsidR="00D90248">
        <w:rPr>
          <w:sz w:val="24"/>
          <w:szCs w:val="24"/>
        </w:rPr>
        <w:t xml:space="preserve">audience </w:t>
      </w:r>
      <w:r w:rsidR="007949A5">
        <w:rPr>
          <w:sz w:val="24"/>
          <w:szCs w:val="24"/>
        </w:rPr>
        <w:t xml:space="preserve">for the first time </w:t>
      </w:r>
      <w:r w:rsidR="00D90248">
        <w:rPr>
          <w:sz w:val="24"/>
          <w:szCs w:val="24"/>
        </w:rPr>
        <w:t>with Peruvian government officials from the Financial Intelligence Unit, Anti-corruption</w:t>
      </w:r>
      <w:r w:rsidR="00572FE9">
        <w:rPr>
          <w:sz w:val="24"/>
          <w:szCs w:val="24"/>
        </w:rPr>
        <w:t xml:space="preserve"> </w:t>
      </w:r>
      <w:r w:rsidR="00677721">
        <w:rPr>
          <w:sz w:val="24"/>
          <w:szCs w:val="24"/>
        </w:rPr>
        <w:t>U</w:t>
      </w:r>
      <w:r w:rsidR="00572FE9">
        <w:rPr>
          <w:sz w:val="24"/>
          <w:szCs w:val="24"/>
        </w:rPr>
        <w:t>nit</w:t>
      </w:r>
      <w:r w:rsidR="00D90248">
        <w:rPr>
          <w:sz w:val="24"/>
          <w:szCs w:val="24"/>
        </w:rPr>
        <w:t xml:space="preserve">, and tax administration.  For CBGA, </w:t>
      </w:r>
      <w:r w:rsidR="00131070">
        <w:rPr>
          <w:sz w:val="24"/>
          <w:szCs w:val="24"/>
        </w:rPr>
        <w:t>FGP support</w:t>
      </w:r>
      <w:r w:rsidR="00D90248">
        <w:rPr>
          <w:sz w:val="24"/>
          <w:szCs w:val="24"/>
        </w:rPr>
        <w:t xml:space="preserve"> has </w:t>
      </w:r>
      <w:r w:rsidR="00131070">
        <w:rPr>
          <w:sz w:val="24"/>
          <w:szCs w:val="24"/>
        </w:rPr>
        <w:t>meant</w:t>
      </w:r>
      <w:r w:rsidR="00D90248">
        <w:rPr>
          <w:sz w:val="24"/>
          <w:szCs w:val="24"/>
        </w:rPr>
        <w:t xml:space="preserve"> broadening </w:t>
      </w:r>
      <w:r w:rsidR="00131070">
        <w:rPr>
          <w:sz w:val="24"/>
          <w:szCs w:val="24"/>
        </w:rPr>
        <w:t xml:space="preserve">its regional networks and base </w:t>
      </w:r>
      <w:r w:rsidR="00D90248">
        <w:rPr>
          <w:sz w:val="24"/>
          <w:szCs w:val="24"/>
        </w:rPr>
        <w:t xml:space="preserve">through </w:t>
      </w:r>
      <w:r w:rsidR="00BB0CF0">
        <w:rPr>
          <w:sz w:val="24"/>
          <w:szCs w:val="24"/>
        </w:rPr>
        <w:t xml:space="preserve">examining the issue of IFF in national contexts (e.g. China, Bangladesh, India, the Philippines), </w:t>
      </w:r>
      <w:r w:rsidR="00131070">
        <w:rPr>
          <w:sz w:val="24"/>
          <w:szCs w:val="24"/>
        </w:rPr>
        <w:t>through</w:t>
      </w:r>
      <w:r w:rsidR="00BB0CF0">
        <w:rPr>
          <w:sz w:val="24"/>
          <w:szCs w:val="24"/>
        </w:rPr>
        <w:t xml:space="preserve"> partnering with interested organisations in select countries to carry out c</w:t>
      </w:r>
      <w:r w:rsidR="00D90248">
        <w:rPr>
          <w:sz w:val="24"/>
          <w:szCs w:val="24"/>
        </w:rPr>
        <w:t xml:space="preserve">ountry-level research on IFF </w:t>
      </w:r>
      <w:r w:rsidR="00131070">
        <w:rPr>
          <w:sz w:val="24"/>
          <w:szCs w:val="24"/>
        </w:rPr>
        <w:t xml:space="preserve">that will ultimately </w:t>
      </w:r>
      <w:r w:rsidR="00BB0CF0">
        <w:rPr>
          <w:sz w:val="24"/>
          <w:szCs w:val="24"/>
        </w:rPr>
        <w:t>inform the development of national and regional level policy priorities and advocacy</w:t>
      </w:r>
      <w:r w:rsidR="00572FE9">
        <w:rPr>
          <w:sz w:val="24"/>
          <w:szCs w:val="24"/>
        </w:rPr>
        <w:t xml:space="preserve">.  </w:t>
      </w:r>
      <w:r w:rsidR="00BB0CF0">
        <w:rPr>
          <w:sz w:val="24"/>
          <w:szCs w:val="24"/>
        </w:rPr>
        <w:t>In Africa,</w:t>
      </w:r>
      <w:r w:rsidR="00131070">
        <w:rPr>
          <w:sz w:val="24"/>
          <w:szCs w:val="24"/>
        </w:rPr>
        <w:t xml:space="preserve"> FGP support</w:t>
      </w:r>
      <w:r w:rsidR="00BB0CF0">
        <w:rPr>
          <w:sz w:val="24"/>
          <w:szCs w:val="24"/>
        </w:rPr>
        <w:t xml:space="preserve"> has meant capacity building </w:t>
      </w:r>
      <w:r w:rsidR="00B527E4">
        <w:rPr>
          <w:sz w:val="24"/>
          <w:szCs w:val="24"/>
        </w:rPr>
        <w:t>of</w:t>
      </w:r>
      <w:r w:rsidR="00BB0CF0">
        <w:rPr>
          <w:sz w:val="24"/>
          <w:szCs w:val="24"/>
        </w:rPr>
        <w:t xml:space="preserve"> parliamentarians, media and CSOs, as well as </w:t>
      </w:r>
      <w:r w:rsidR="00131070">
        <w:rPr>
          <w:sz w:val="24"/>
          <w:szCs w:val="24"/>
        </w:rPr>
        <w:t>initiating policy dialogue with several</w:t>
      </w:r>
      <w:r w:rsidR="00B527E4">
        <w:rPr>
          <w:sz w:val="24"/>
          <w:szCs w:val="24"/>
        </w:rPr>
        <w:t xml:space="preserve"> African governments on other tax policy issues, such as tax incentives and transfer pricing.</w:t>
      </w:r>
      <w:r w:rsidR="007949A5">
        <w:rPr>
          <w:sz w:val="24"/>
          <w:szCs w:val="24"/>
        </w:rPr>
        <w:t xml:space="preserve">  </w:t>
      </w:r>
    </w:p>
    <w:p w:rsidR="003D5036" w:rsidRDefault="003D5036" w:rsidP="009E28EB">
      <w:pPr>
        <w:tabs>
          <w:tab w:val="left" w:pos="3845"/>
        </w:tabs>
        <w:spacing w:after="0" w:line="240" w:lineRule="auto"/>
        <w:jc w:val="both"/>
        <w:rPr>
          <w:sz w:val="24"/>
          <w:szCs w:val="24"/>
        </w:rPr>
      </w:pPr>
    </w:p>
    <w:p w:rsidR="0040143E" w:rsidRDefault="00572FE9" w:rsidP="009E28EB">
      <w:pPr>
        <w:tabs>
          <w:tab w:val="left" w:pos="3845"/>
        </w:tabs>
        <w:spacing w:after="0" w:line="240" w:lineRule="auto"/>
        <w:jc w:val="both"/>
        <w:rPr>
          <w:sz w:val="24"/>
          <w:szCs w:val="24"/>
        </w:rPr>
      </w:pPr>
      <w:r>
        <w:rPr>
          <w:sz w:val="24"/>
          <w:szCs w:val="24"/>
        </w:rPr>
        <w:t xml:space="preserve">Furthermore, each regional member has engaged </w:t>
      </w:r>
      <w:r w:rsidR="00FB011D">
        <w:rPr>
          <w:sz w:val="24"/>
          <w:szCs w:val="24"/>
        </w:rPr>
        <w:t xml:space="preserve">in the </w:t>
      </w:r>
      <w:r w:rsidR="00131070">
        <w:rPr>
          <w:sz w:val="24"/>
          <w:szCs w:val="24"/>
        </w:rPr>
        <w:t xml:space="preserve">OECD’s </w:t>
      </w:r>
      <w:r w:rsidR="00FB011D">
        <w:rPr>
          <w:sz w:val="24"/>
          <w:szCs w:val="24"/>
        </w:rPr>
        <w:t xml:space="preserve">BEPS regional consultation processes </w:t>
      </w:r>
      <w:r w:rsidR="005A3545">
        <w:rPr>
          <w:sz w:val="24"/>
          <w:szCs w:val="24"/>
        </w:rPr>
        <w:t xml:space="preserve">highlighting the need for developing country voice </w:t>
      </w:r>
      <w:r>
        <w:rPr>
          <w:sz w:val="24"/>
          <w:szCs w:val="24"/>
        </w:rPr>
        <w:t>therein</w:t>
      </w:r>
      <w:r w:rsidR="005A3545">
        <w:rPr>
          <w:sz w:val="24"/>
          <w:szCs w:val="24"/>
        </w:rPr>
        <w:t xml:space="preserve">, and </w:t>
      </w:r>
      <w:r w:rsidR="004C43F7">
        <w:rPr>
          <w:sz w:val="24"/>
          <w:szCs w:val="24"/>
        </w:rPr>
        <w:t>the failure of the</w:t>
      </w:r>
      <w:r w:rsidR="005A3545">
        <w:rPr>
          <w:sz w:val="24"/>
          <w:szCs w:val="24"/>
        </w:rPr>
        <w:t xml:space="preserve"> BEPS process </w:t>
      </w:r>
      <w:r>
        <w:rPr>
          <w:sz w:val="24"/>
          <w:szCs w:val="24"/>
        </w:rPr>
        <w:t xml:space="preserve">as a whole, </w:t>
      </w:r>
      <w:r w:rsidR="00B31979">
        <w:rPr>
          <w:sz w:val="24"/>
          <w:szCs w:val="24"/>
        </w:rPr>
        <w:t>to</w:t>
      </w:r>
      <w:r w:rsidR="005A3545">
        <w:rPr>
          <w:sz w:val="24"/>
          <w:szCs w:val="24"/>
        </w:rPr>
        <w:t xml:space="preserve"> </w:t>
      </w:r>
      <w:r w:rsidR="00767EFD">
        <w:rPr>
          <w:sz w:val="24"/>
          <w:szCs w:val="24"/>
        </w:rPr>
        <w:t>take</w:t>
      </w:r>
      <w:r w:rsidR="005A3545">
        <w:rPr>
          <w:sz w:val="24"/>
          <w:szCs w:val="24"/>
        </w:rPr>
        <w:t xml:space="preserve"> into account </w:t>
      </w:r>
      <w:r>
        <w:rPr>
          <w:sz w:val="24"/>
          <w:szCs w:val="24"/>
        </w:rPr>
        <w:t xml:space="preserve">developing country </w:t>
      </w:r>
      <w:r w:rsidR="00767EFD">
        <w:rPr>
          <w:sz w:val="24"/>
          <w:szCs w:val="24"/>
        </w:rPr>
        <w:t xml:space="preserve">tax policy priorities, </w:t>
      </w:r>
      <w:r w:rsidR="005A3545">
        <w:rPr>
          <w:sz w:val="24"/>
          <w:szCs w:val="24"/>
        </w:rPr>
        <w:t>such as tax incentives</w:t>
      </w:r>
      <w:r w:rsidR="00B31979">
        <w:rPr>
          <w:sz w:val="24"/>
          <w:szCs w:val="24"/>
        </w:rPr>
        <w:t xml:space="preserve">, and which was later admitted </w:t>
      </w:r>
      <w:r w:rsidR="001D7FF4">
        <w:rPr>
          <w:sz w:val="24"/>
          <w:szCs w:val="24"/>
        </w:rPr>
        <w:t xml:space="preserve">to </w:t>
      </w:r>
      <w:r w:rsidR="00B31979">
        <w:rPr>
          <w:sz w:val="24"/>
          <w:szCs w:val="24"/>
        </w:rPr>
        <w:t>by the OECD</w:t>
      </w:r>
      <w:r w:rsidR="007949A5">
        <w:rPr>
          <w:sz w:val="24"/>
          <w:szCs w:val="24"/>
        </w:rPr>
        <w:t xml:space="preserve">.  </w:t>
      </w:r>
      <w:r w:rsidR="00767EFD">
        <w:rPr>
          <w:sz w:val="24"/>
          <w:szCs w:val="24"/>
        </w:rPr>
        <w:t xml:space="preserve">FTC as a whole, </w:t>
      </w:r>
      <w:r w:rsidR="0040143E">
        <w:rPr>
          <w:sz w:val="24"/>
          <w:szCs w:val="24"/>
        </w:rPr>
        <w:t>has also successfully monitored</w:t>
      </w:r>
      <w:r w:rsidR="00B31979">
        <w:rPr>
          <w:sz w:val="24"/>
          <w:szCs w:val="24"/>
        </w:rPr>
        <w:t xml:space="preserve"> and analyzed </w:t>
      </w:r>
      <w:r w:rsidR="0040143E">
        <w:rPr>
          <w:sz w:val="24"/>
          <w:szCs w:val="24"/>
        </w:rPr>
        <w:t xml:space="preserve">OECD automatic information exchange standard and </w:t>
      </w:r>
      <w:r w:rsidR="00131070">
        <w:rPr>
          <w:sz w:val="24"/>
          <w:szCs w:val="24"/>
        </w:rPr>
        <w:t xml:space="preserve">the draft </w:t>
      </w:r>
      <w:r w:rsidR="0040143E">
        <w:rPr>
          <w:sz w:val="24"/>
          <w:szCs w:val="24"/>
        </w:rPr>
        <w:t>country by country</w:t>
      </w:r>
      <w:r w:rsidR="00131070">
        <w:rPr>
          <w:sz w:val="24"/>
          <w:szCs w:val="24"/>
        </w:rPr>
        <w:t xml:space="preserve"> reporting</w:t>
      </w:r>
      <w:r w:rsidR="0040143E">
        <w:rPr>
          <w:sz w:val="24"/>
          <w:szCs w:val="24"/>
        </w:rPr>
        <w:t xml:space="preserve"> template</w:t>
      </w:r>
      <w:r w:rsidR="00B31979">
        <w:rPr>
          <w:sz w:val="24"/>
          <w:szCs w:val="24"/>
        </w:rPr>
        <w:t xml:space="preserve"> (as first set out outputs from the BEPS process), but has not </w:t>
      </w:r>
      <w:r w:rsidR="001D7FF4">
        <w:rPr>
          <w:sz w:val="24"/>
          <w:szCs w:val="24"/>
        </w:rPr>
        <w:t xml:space="preserve">as yet </w:t>
      </w:r>
      <w:r w:rsidR="00B31979">
        <w:rPr>
          <w:sz w:val="24"/>
          <w:szCs w:val="24"/>
        </w:rPr>
        <w:t xml:space="preserve">been as successful </w:t>
      </w:r>
      <w:r w:rsidR="001D7FF4">
        <w:rPr>
          <w:sz w:val="24"/>
          <w:szCs w:val="24"/>
        </w:rPr>
        <w:t>in</w:t>
      </w:r>
      <w:r w:rsidR="00B31979">
        <w:rPr>
          <w:sz w:val="24"/>
          <w:szCs w:val="24"/>
        </w:rPr>
        <w:t xml:space="preserve"> raising awareness about the weaknesses of these standards </w:t>
      </w:r>
      <w:r w:rsidR="0040143E">
        <w:rPr>
          <w:sz w:val="24"/>
          <w:szCs w:val="24"/>
        </w:rPr>
        <w:t>from a developing country perspective</w:t>
      </w:r>
      <w:r w:rsidR="00B31979">
        <w:rPr>
          <w:sz w:val="24"/>
          <w:szCs w:val="24"/>
        </w:rPr>
        <w:t>, and ramping up advocacy on this front</w:t>
      </w:r>
      <w:r w:rsidR="00131070">
        <w:rPr>
          <w:sz w:val="24"/>
          <w:szCs w:val="24"/>
        </w:rPr>
        <w:t>. Vera had</w:t>
      </w:r>
      <w:r w:rsidR="0040143E">
        <w:rPr>
          <w:sz w:val="24"/>
          <w:szCs w:val="24"/>
        </w:rPr>
        <w:t xml:space="preserve"> earlier expressed concern that our grantees</w:t>
      </w:r>
      <w:r w:rsidR="00B31979">
        <w:rPr>
          <w:sz w:val="24"/>
          <w:szCs w:val="24"/>
        </w:rPr>
        <w:t xml:space="preserve"> in this field</w:t>
      </w:r>
      <w:r w:rsidR="0040143E">
        <w:rPr>
          <w:sz w:val="24"/>
          <w:szCs w:val="24"/>
        </w:rPr>
        <w:t xml:space="preserve"> were not paying as much attention to ‘testing’ </w:t>
      </w:r>
      <w:r w:rsidR="00B31979">
        <w:rPr>
          <w:sz w:val="24"/>
          <w:szCs w:val="24"/>
        </w:rPr>
        <w:t xml:space="preserve">the suite of global financial transparency </w:t>
      </w:r>
      <w:r w:rsidR="0040143E">
        <w:rPr>
          <w:sz w:val="24"/>
          <w:szCs w:val="24"/>
        </w:rPr>
        <w:t>proposal</w:t>
      </w:r>
      <w:r w:rsidR="007949A5">
        <w:rPr>
          <w:sz w:val="24"/>
          <w:szCs w:val="24"/>
        </w:rPr>
        <w:t>s</w:t>
      </w:r>
      <w:r w:rsidR="00131070">
        <w:rPr>
          <w:sz w:val="24"/>
          <w:szCs w:val="24"/>
        </w:rPr>
        <w:t xml:space="preserve"> initiated by the North</w:t>
      </w:r>
      <w:r w:rsidR="0040143E">
        <w:rPr>
          <w:sz w:val="24"/>
          <w:szCs w:val="24"/>
        </w:rPr>
        <w:t xml:space="preserve"> in a developing country context.  But, from </w:t>
      </w:r>
      <w:r w:rsidR="00B31979">
        <w:rPr>
          <w:sz w:val="24"/>
          <w:szCs w:val="24"/>
        </w:rPr>
        <w:t>FGP’s</w:t>
      </w:r>
      <w:r w:rsidR="0040143E">
        <w:rPr>
          <w:sz w:val="24"/>
          <w:szCs w:val="24"/>
        </w:rPr>
        <w:t xml:space="preserve"> interactions with the regional members</w:t>
      </w:r>
      <w:r w:rsidR="00B31979">
        <w:rPr>
          <w:sz w:val="24"/>
          <w:szCs w:val="24"/>
        </w:rPr>
        <w:t>,</w:t>
      </w:r>
      <w:r w:rsidR="0040143E">
        <w:rPr>
          <w:sz w:val="24"/>
          <w:szCs w:val="24"/>
        </w:rPr>
        <w:t xml:space="preserve"> </w:t>
      </w:r>
      <w:r w:rsidR="00B31979">
        <w:rPr>
          <w:sz w:val="24"/>
          <w:szCs w:val="24"/>
        </w:rPr>
        <w:t xml:space="preserve">it is clear that </w:t>
      </w:r>
      <w:r w:rsidR="0040143E">
        <w:rPr>
          <w:sz w:val="24"/>
          <w:szCs w:val="24"/>
        </w:rPr>
        <w:t>they fully underst</w:t>
      </w:r>
      <w:r w:rsidR="00131070">
        <w:rPr>
          <w:sz w:val="24"/>
          <w:szCs w:val="24"/>
        </w:rPr>
        <w:t>and</w:t>
      </w:r>
      <w:r w:rsidR="0040143E">
        <w:rPr>
          <w:sz w:val="24"/>
          <w:szCs w:val="24"/>
        </w:rPr>
        <w:t xml:space="preserve"> the need for nuance, and local adaptation, which </w:t>
      </w:r>
      <w:r w:rsidR="007949A5">
        <w:rPr>
          <w:sz w:val="24"/>
          <w:szCs w:val="24"/>
        </w:rPr>
        <w:t>in the case of CBGA, they expect will</w:t>
      </w:r>
      <w:r w:rsidR="0040143E">
        <w:rPr>
          <w:sz w:val="24"/>
          <w:szCs w:val="24"/>
        </w:rPr>
        <w:t xml:space="preserve"> </w:t>
      </w:r>
      <w:r w:rsidR="007949A5">
        <w:rPr>
          <w:sz w:val="24"/>
          <w:szCs w:val="24"/>
        </w:rPr>
        <w:t>become evident</w:t>
      </w:r>
      <w:r w:rsidR="0040143E">
        <w:rPr>
          <w:sz w:val="24"/>
          <w:szCs w:val="24"/>
        </w:rPr>
        <w:t xml:space="preserve"> from </w:t>
      </w:r>
      <w:r w:rsidR="00131070">
        <w:rPr>
          <w:sz w:val="24"/>
          <w:szCs w:val="24"/>
        </w:rPr>
        <w:t xml:space="preserve">some of </w:t>
      </w:r>
      <w:r w:rsidR="0040143E">
        <w:rPr>
          <w:sz w:val="24"/>
          <w:szCs w:val="24"/>
        </w:rPr>
        <w:t xml:space="preserve">the country </w:t>
      </w:r>
      <w:r w:rsidR="00B527E4">
        <w:rPr>
          <w:sz w:val="24"/>
          <w:szCs w:val="24"/>
        </w:rPr>
        <w:t xml:space="preserve">case </w:t>
      </w:r>
      <w:r w:rsidR="0040143E">
        <w:rPr>
          <w:sz w:val="24"/>
          <w:szCs w:val="24"/>
        </w:rPr>
        <w:t xml:space="preserve">studies they </w:t>
      </w:r>
      <w:r w:rsidR="007949A5">
        <w:rPr>
          <w:sz w:val="24"/>
          <w:szCs w:val="24"/>
        </w:rPr>
        <w:t>have</w:t>
      </w:r>
      <w:r w:rsidR="00B527E4">
        <w:rPr>
          <w:sz w:val="24"/>
          <w:szCs w:val="24"/>
        </w:rPr>
        <w:t xml:space="preserve"> commissioned</w:t>
      </w:r>
      <w:r w:rsidR="0040143E">
        <w:rPr>
          <w:sz w:val="24"/>
          <w:szCs w:val="24"/>
        </w:rPr>
        <w:t>.</w:t>
      </w:r>
      <w:r w:rsidR="007949A5">
        <w:rPr>
          <w:sz w:val="24"/>
          <w:szCs w:val="24"/>
        </w:rPr>
        <w:t xml:space="preserve">  </w:t>
      </w:r>
    </w:p>
    <w:p w:rsidR="007949A5" w:rsidRDefault="007949A5" w:rsidP="009E28EB">
      <w:pPr>
        <w:tabs>
          <w:tab w:val="left" w:pos="3845"/>
        </w:tabs>
        <w:spacing w:after="0" w:line="240" w:lineRule="auto"/>
        <w:jc w:val="both"/>
        <w:rPr>
          <w:sz w:val="24"/>
          <w:szCs w:val="24"/>
        </w:rPr>
      </w:pPr>
    </w:p>
    <w:p w:rsidR="00B527E4" w:rsidRDefault="00B527E4" w:rsidP="009E28EB">
      <w:pPr>
        <w:tabs>
          <w:tab w:val="left" w:pos="3845"/>
        </w:tabs>
        <w:spacing w:after="0" w:line="240" w:lineRule="auto"/>
        <w:jc w:val="both"/>
        <w:rPr>
          <w:sz w:val="24"/>
          <w:szCs w:val="24"/>
        </w:rPr>
      </w:pPr>
      <w:r>
        <w:rPr>
          <w:sz w:val="24"/>
          <w:szCs w:val="24"/>
        </w:rPr>
        <w:t xml:space="preserve">FTC is clearly a dynamic coalition with ambitions of becoming truly global in scope and </w:t>
      </w:r>
      <w:r w:rsidR="00131070">
        <w:rPr>
          <w:sz w:val="24"/>
          <w:szCs w:val="24"/>
        </w:rPr>
        <w:t>is taking</w:t>
      </w:r>
      <w:r>
        <w:rPr>
          <w:sz w:val="24"/>
          <w:szCs w:val="24"/>
        </w:rPr>
        <w:t xml:space="preserve"> institutional development, particularly of its regional members</w:t>
      </w:r>
      <w:r w:rsidR="00131070">
        <w:rPr>
          <w:sz w:val="24"/>
          <w:szCs w:val="24"/>
        </w:rPr>
        <w:t>,</w:t>
      </w:r>
      <w:r>
        <w:rPr>
          <w:sz w:val="24"/>
          <w:szCs w:val="24"/>
        </w:rPr>
        <w:t xml:space="preserve"> seriously.  FGP had concerns about how, beyond re-granting funds, FTC’s coordinating committee plans to work with regional members to strengthen their advocacy and influence at the regional level, and ensure that concerns from the South play a central role in their advocacy in the north.  Institutionally, FTC has plans to recruit three additional regional members </w:t>
      </w:r>
      <w:r w:rsidR="00131070">
        <w:rPr>
          <w:sz w:val="24"/>
          <w:szCs w:val="24"/>
        </w:rPr>
        <w:t>and</w:t>
      </w:r>
      <w:r>
        <w:rPr>
          <w:sz w:val="24"/>
          <w:szCs w:val="24"/>
        </w:rPr>
        <w:t xml:space="preserve"> to facilitate discussions and collaboration amongst regional members.  Additionally, one of the FTC’s </w:t>
      </w:r>
      <w:r w:rsidR="00131070">
        <w:rPr>
          <w:sz w:val="24"/>
          <w:szCs w:val="24"/>
        </w:rPr>
        <w:t xml:space="preserve">global </w:t>
      </w:r>
      <w:r>
        <w:rPr>
          <w:sz w:val="24"/>
          <w:szCs w:val="24"/>
        </w:rPr>
        <w:t xml:space="preserve">priorities for 2015 was devised and directly speaks to </w:t>
      </w:r>
      <w:r w:rsidR="001D7FF4">
        <w:rPr>
          <w:sz w:val="24"/>
          <w:szCs w:val="24"/>
        </w:rPr>
        <w:t xml:space="preserve">a </w:t>
      </w:r>
      <w:r>
        <w:rPr>
          <w:sz w:val="24"/>
          <w:szCs w:val="24"/>
        </w:rPr>
        <w:t>regional member concern</w:t>
      </w:r>
      <w:r w:rsidR="00131070">
        <w:rPr>
          <w:sz w:val="24"/>
          <w:szCs w:val="24"/>
        </w:rPr>
        <w:t>,</w:t>
      </w:r>
      <w:r>
        <w:rPr>
          <w:sz w:val="24"/>
          <w:szCs w:val="24"/>
        </w:rPr>
        <w:t xml:space="preserve"> </w:t>
      </w:r>
      <w:r w:rsidR="001D7FF4">
        <w:rPr>
          <w:sz w:val="24"/>
          <w:szCs w:val="24"/>
        </w:rPr>
        <w:t>which</w:t>
      </w:r>
      <w:r>
        <w:rPr>
          <w:sz w:val="24"/>
          <w:szCs w:val="24"/>
        </w:rPr>
        <w:t xml:space="preserve"> </w:t>
      </w:r>
      <w:r w:rsidR="001D7FF4">
        <w:rPr>
          <w:sz w:val="24"/>
          <w:szCs w:val="24"/>
        </w:rPr>
        <w:t>is</w:t>
      </w:r>
      <w:r>
        <w:rPr>
          <w:sz w:val="24"/>
          <w:szCs w:val="24"/>
        </w:rPr>
        <w:t xml:space="preserve"> the need for a new institutional architecture where developed and developing economies can discuss and coordinate on IFF and in</w:t>
      </w:r>
      <w:r w:rsidR="001D7FF4">
        <w:rPr>
          <w:sz w:val="24"/>
          <w:szCs w:val="24"/>
        </w:rPr>
        <w:t>ternational aspects of taxation on equal footing</w:t>
      </w:r>
      <w:r w:rsidR="00131070">
        <w:rPr>
          <w:sz w:val="24"/>
          <w:szCs w:val="24"/>
        </w:rPr>
        <w:t xml:space="preserve"> (i.e. not the OECD)</w:t>
      </w:r>
      <w:r w:rsidR="001D7FF4">
        <w:rPr>
          <w:sz w:val="24"/>
          <w:szCs w:val="24"/>
        </w:rPr>
        <w:t>.</w:t>
      </w:r>
      <w:r>
        <w:rPr>
          <w:sz w:val="24"/>
          <w:szCs w:val="24"/>
        </w:rPr>
        <w:t xml:space="preserve">   </w:t>
      </w:r>
    </w:p>
    <w:p w:rsidR="00BA4565" w:rsidRDefault="00BA4565" w:rsidP="009E28EB">
      <w:pPr>
        <w:tabs>
          <w:tab w:val="left" w:pos="3845"/>
        </w:tabs>
        <w:spacing w:after="0" w:line="240" w:lineRule="auto"/>
        <w:jc w:val="both"/>
        <w:rPr>
          <w:sz w:val="24"/>
          <w:szCs w:val="24"/>
        </w:rPr>
      </w:pPr>
    </w:p>
    <w:p w:rsidR="00BA4565" w:rsidRPr="00815D43" w:rsidRDefault="00BA4565" w:rsidP="009E28EB">
      <w:pPr>
        <w:tabs>
          <w:tab w:val="left" w:pos="3845"/>
        </w:tabs>
        <w:spacing w:after="0" w:line="240" w:lineRule="auto"/>
        <w:jc w:val="both"/>
        <w:rPr>
          <w:b/>
          <w:sz w:val="24"/>
          <w:szCs w:val="24"/>
        </w:rPr>
      </w:pPr>
      <w:r>
        <w:rPr>
          <w:b/>
          <w:sz w:val="24"/>
          <w:szCs w:val="24"/>
        </w:rPr>
        <w:t>Human Security Collective (HSC)</w:t>
      </w:r>
      <w:r w:rsidRPr="006E1836">
        <w:rPr>
          <w:b/>
          <w:sz w:val="24"/>
          <w:szCs w:val="24"/>
        </w:rPr>
        <w:t>:</w:t>
      </w:r>
      <w:r>
        <w:rPr>
          <w:b/>
          <w:sz w:val="24"/>
          <w:szCs w:val="24"/>
        </w:rPr>
        <w:t xml:space="preserve"> </w:t>
      </w:r>
      <w:r w:rsidRPr="00815D43">
        <w:rPr>
          <w:sz w:val="24"/>
          <w:szCs w:val="24"/>
        </w:rPr>
        <w:t>unlike the other grantees in this portfolio, FGP’s Director chose to invest in the Human Security Collective (HSC) to ensure that the major players in the field (both groups we support, such as FTC and FACT as well as key institutions like the Financial Action Task Force</w:t>
      </w:r>
      <w:r w:rsidR="001228FC">
        <w:rPr>
          <w:sz w:val="24"/>
          <w:szCs w:val="24"/>
        </w:rPr>
        <w:t>/FATF</w:t>
      </w:r>
      <w:r w:rsidRPr="00815D43">
        <w:rPr>
          <w:sz w:val="24"/>
          <w:szCs w:val="24"/>
        </w:rPr>
        <w:t xml:space="preserve">) attend to concerns around </w:t>
      </w:r>
      <w:r>
        <w:rPr>
          <w:sz w:val="24"/>
          <w:szCs w:val="24"/>
        </w:rPr>
        <w:t xml:space="preserve">the </w:t>
      </w:r>
      <w:r w:rsidRPr="00815D43">
        <w:rPr>
          <w:sz w:val="24"/>
          <w:szCs w:val="24"/>
        </w:rPr>
        <w:t xml:space="preserve">detrimental, unintended consequences of both existing and strengthened anti-money laundering legislation.  To this end, </w:t>
      </w:r>
      <w:r w:rsidR="001228FC">
        <w:rPr>
          <w:sz w:val="24"/>
          <w:szCs w:val="24"/>
        </w:rPr>
        <w:t>Julie</w:t>
      </w:r>
      <w:r w:rsidRPr="00815D43">
        <w:rPr>
          <w:sz w:val="24"/>
          <w:szCs w:val="24"/>
        </w:rPr>
        <w:t xml:space="preserve"> organized a meeting earlier this year bringing these groups together to </w:t>
      </w:r>
      <w:r w:rsidRPr="00815D43">
        <w:rPr>
          <w:i/>
          <w:sz w:val="24"/>
          <w:szCs w:val="24"/>
        </w:rPr>
        <w:t>inter alia</w:t>
      </w:r>
      <w:r w:rsidRPr="00815D43">
        <w:rPr>
          <w:sz w:val="24"/>
          <w:szCs w:val="24"/>
        </w:rPr>
        <w:t xml:space="preserve"> foster mutual understanding of each other’s goals around anti-money laundering legislation and importantly to encourage HSC to move beyond diagnosing these problems to</w:t>
      </w:r>
      <w:r w:rsidR="001228FC">
        <w:rPr>
          <w:sz w:val="24"/>
          <w:szCs w:val="24"/>
        </w:rPr>
        <w:t>wards</w:t>
      </w:r>
      <w:r w:rsidRPr="00815D43">
        <w:rPr>
          <w:sz w:val="24"/>
          <w:szCs w:val="24"/>
        </w:rPr>
        <w:t xml:space="preserve"> offering specific </w:t>
      </w:r>
      <w:r w:rsidR="001228FC">
        <w:rPr>
          <w:sz w:val="24"/>
          <w:szCs w:val="24"/>
        </w:rPr>
        <w:t xml:space="preserve">policy proposals around how FATF could address negative unintended consequences while maintaining progress on anti-money laundering reform.  </w:t>
      </w:r>
      <w:r w:rsidRPr="00815D43">
        <w:rPr>
          <w:sz w:val="24"/>
          <w:szCs w:val="24"/>
        </w:rPr>
        <w:t xml:space="preserve">Together </w:t>
      </w:r>
      <w:r>
        <w:rPr>
          <w:sz w:val="24"/>
          <w:szCs w:val="24"/>
        </w:rPr>
        <w:t>with OSEPI</w:t>
      </w:r>
      <w:r w:rsidRPr="00815D43">
        <w:rPr>
          <w:sz w:val="24"/>
          <w:szCs w:val="24"/>
        </w:rPr>
        <w:t>, FGP has continued to encourage HSC to do this</w:t>
      </w:r>
      <w:r w:rsidR="001228FC">
        <w:rPr>
          <w:sz w:val="24"/>
          <w:szCs w:val="24"/>
        </w:rPr>
        <w:t xml:space="preserve"> (including through offering space at our Brussels office for meetings with policymakers, and encouraging them to take on a presence in Brussels)</w:t>
      </w:r>
      <w:r w:rsidRPr="00815D43">
        <w:rPr>
          <w:sz w:val="24"/>
          <w:szCs w:val="24"/>
        </w:rPr>
        <w:t xml:space="preserve">, but without much success.  In this way, FGP’s support for HSC has not led to the organization’s increased effectiveness in this field, and based on recent interactions between HSC and FTC, relations have not strengthened between these groups, but have in fact become </w:t>
      </w:r>
      <w:r>
        <w:rPr>
          <w:sz w:val="24"/>
          <w:szCs w:val="24"/>
        </w:rPr>
        <w:t xml:space="preserve">increasingly </w:t>
      </w:r>
      <w:r w:rsidRPr="00815D43">
        <w:rPr>
          <w:sz w:val="24"/>
          <w:szCs w:val="24"/>
        </w:rPr>
        <w:t>strained</w:t>
      </w:r>
      <w:r>
        <w:rPr>
          <w:sz w:val="24"/>
          <w:szCs w:val="24"/>
        </w:rPr>
        <w:t>, since without offering concrete proposals to safeguard civic space, it appears</w:t>
      </w:r>
      <w:r w:rsidR="00677721">
        <w:rPr>
          <w:sz w:val="24"/>
          <w:szCs w:val="24"/>
        </w:rPr>
        <w:t xml:space="preserve"> to</w:t>
      </w:r>
      <w:r>
        <w:rPr>
          <w:sz w:val="24"/>
          <w:szCs w:val="24"/>
        </w:rPr>
        <w:t xml:space="preserve"> </w:t>
      </w:r>
      <w:r w:rsidR="001228FC">
        <w:rPr>
          <w:sz w:val="24"/>
          <w:szCs w:val="24"/>
        </w:rPr>
        <w:t xml:space="preserve">FTC and others </w:t>
      </w:r>
      <w:r>
        <w:rPr>
          <w:sz w:val="24"/>
          <w:szCs w:val="24"/>
        </w:rPr>
        <w:t xml:space="preserve">that HSC is </w:t>
      </w:r>
      <w:r w:rsidR="001228FC">
        <w:rPr>
          <w:sz w:val="24"/>
          <w:szCs w:val="24"/>
        </w:rPr>
        <w:t xml:space="preserve">simply </w:t>
      </w:r>
      <w:r w:rsidR="00A023D4">
        <w:rPr>
          <w:sz w:val="24"/>
          <w:szCs w:val="24"/>
        </w:rPr>
        <w:t>opposing</w:t>
      </w:r>
      <w:r>
        <w:rPr>
          <w:sz w:val="24"/>
          <w:szCs w:val="24"/>
        </w:rPr>
        <w:t xml:space="preserve"> </w:t>
      </w:r>
      <w:r w:rsidR="001228FC">
        <w:rPr>
          <w:sz w:val="24"/>
          <w:szCs w:val="24"/>
        </w:rPr>
        <w:t>FATF and anti-money laundering efforts overall</w:t>
      </w:r>
      <w:r w:rsidRPr="00815D43">
        <w:rPr>
          <w:sz w:val="24"/>
          <w:szCs w:val="24"/>
        </w:rPr>
        <w:t>.</w:t>
      </w:r>
      <w:r>
        <w:rPr>
          <w:sz w:val="24"/>
          <w:szCs w:val="24"/>
        </w:rPr>
        <w:t xml:space="preserve">  What we have learned from this experience is that if we wish to</w:t>
      </w:r>
      <w:r w:rsidR="001228FC">
        <w:rPr>
          <w:sz w:val="24"/>
          <w:szCs w:val="24"/>
        </w:rPr>
        <w:t xml:space="preserve"> have an impact on this issue, FGP should broaden our work beyond HSC, and directly engage other stakeholders such as ICNL and grantees such as FTC and Global Witness to craft and promote specific policy proposals around the protection of civic space </w:t>
      </w:r>
      <w:r>
        <w:rPr>
          <w:sz w:val="24"/>
          <w:szCs w:val="24"/>
        </w:rPr>
        <w:t>within both existing and proposed anti-money laundering and counter-terrorist financing provisions</w:t>
      </w:r>
      <w:r w:rsidR="001228FC">
        <w:rPr>
          <w:sz w:val="24"/>
          <w:szCs w:val="24"/>
        </w:rPr>
        <w:t xml:space="preserve">. This would be more of a concept </w:t>
      </w:r>
      <w:r w:rsidR="005D2D2F">
        <w:rPr>
          <w:sz w:val="24"/>
          <w:szCs w:val="24"/>
        </w:rPr>
        <w:t xml:space="preserve">rather than field-based </w:t>
      </w:r>
      <w:r w:rsidR="001228FC">
        <w:rPr>
          <w:sz w:val="24"/>
          <w:szCs w:val="24"/>
        </w:rPr>
        <w:t>approach, and would be done</w:t>
      </w:r>
      <w:r>
        <w:rPr>
          <w:sz w:val="24"/>
          <w:szCs w:val="24"/>
        </w:rPr>
        <w:t xml:space="preserve"> in partnership with OSEPI.</w:t>
      </w:r>
    </w:p>
    <w:p w:rsidR="00B527E4" w:rsidRDefault="00B527E4" w:rsidP="009E28EB">
      <w:pPr>
        <w:tabs>
          <w:tab w:val="left" w:pos="3845"/>
        </w:tabs>
        <w:spacing w:after="0" w:line="240" w:lineRule="auto"/>
        <w:jc w:val="both"/>
        <w:rPr>
          <w:sz w:val="24"/>
          <w:szCs w:val="24"/>
        </w:rPr>
      </w:pPr>
    </w:p>
    <w:p w:rsidR="003D5036" w:rsidRDefault="00C8718A" w:rsidP="009E28EB">
      <w:pPr>
        <w:tabs>
          <w:tab w:val="left" w:pos="3845"/>
        </w:tabs>
        <w:spacing w:after="0" w:line="240" w:lineRule="auto"/>
        <w:jc w:val="both"/>
        <w:rPr>
          <w:sz w:val="24"/>
          <w:szCs w:val="24"/>
        </w:rPr>
      </w:pPr>
      <w:r w:rsidRPr="006661DF">
        <w:rPr>
          <w:b/>
          <w:sz w:val="24"/>
          <w:szCs w:val="24"/>
        </w:rPr>
        <w:t>The Rules:</w:t>
      </w:r>
      <w:r>
        <w:rPr>
          <w:sz w:val="24"/>
          <w:szCs w:val="24"/>
        </w:rPr>
        <w:t xml:space="preserve"> Similar to FTC, our support to the Rules was intended to begin resourcing southern-focused efforts to mobilize civil society around illicit flows and tax policy concerns</w:t>
      </w:r>
      <w:r w:rsidR="003007EC">
        <w:rPr>
          <w:sz w:val="24"/>
          <w:szCs w:val="24"/>
        </w:rPr>
        <w:t>, this time at a national level</w:t>
      </w:r>
      <w:r>
        <w:rPr>
          <w:sz w:val="24"/>
          <w:szCs w:val="24"/>
        </w:rPr>
        <w:t xml:space="preserve">. Based on a highly successful initial foray into social mobilization against a regressive VAT proposal in Kenya using innovative new technology to crowd source a petition from 70,000 citizens, FGP provided the Rules with a $250,000 grant to support follow-on work around highlighting Kenya’s role as a regional tax haven and the destructive </w:t>
      </w:r>
      <w:r w:rsidR="003007EC">
        <w:rPr>
          <w:sz w:val="24"/>
          <w:szCs w:val="24"/>
        </w:rPr>
        <w:t>and inequitable</w:t>
      </w:r>
      <w:r>
        <w:rPr>
          <w:sz w:val="24"/>
          <w:szCs w:val="24"/>
        </w:rPr>
        <w:t xml:space="preserve"> effects this was having on development and governance. </w:t>
      </w:r>
    </w:p>
    <w:p w:rsidR="003D5036" w:rsidRDefault="003D5036" w:rsidP="009E28EB">
      <w:pPr>
        <w:tabs>
          <w:tab w:val="left" w:pos="3845"/>
        </w:tabs>
        <w:spacing w:after="0" w:line="240" w:lineRule="auto"/>
        <w:jc w:val="both"/>
        <w:rPr>
          <w:sz w:val="24"/>
          <w:szCs w:val="24"/>
        </w:rPr>
      </w:pPr>
    </w:p>
    <w:p w:rsidR="00C8718A" w:rsidRDefault="00C8718A" w:rsidP="009E28EB">
      <w:pPr>
        <w:tabs>
          <w:tab w:val="left" w:pos="3845"/>
        </w:tabs>
        <w:spacing w:after="0" w:line="240" w:lineRule="auto"/>
        <w:jc w:val="both"/>
        <w:rPr>
          <w:sz w:val="24"/>
          <w:szCs w:val="24"/>
        </w:rPr>
      </w:pPr>
      <w:r>
        <w:rPr>
          <w:sz w:val="24"/>
          <w:szCs w:val="24"/>
        </w:rPr>
        <w:t>This grant was an utter failure. FGP’s Director decided to provide general support to the Rules based on their start-up status and real cash flow concerns</w:t>
      </w:r>
      <w:r w:rsidR="003D5036">
        <w:rPr>
          <w:sz w:val="24"/>
          <w:szCs w:val="24"/>
        </w:rPr>
        <w:t xml:space="preserve">.  </w:t>
      </w:r>
      <w:r>
        <w:rPr>
          <w:sz w:val="24"/>
          <w:szCs w:val="24"/>
        </w:rPr>
        <w:t xml:space="preserve">In structuring the grant, </w:t>
      </w:r>
      <w:r w:rsidR="002F7464">
        <w:rPr>
          <w:sz w:val="24"/>
          <w:szCs w:val="24"/>
        </w:rPr>
        <w:t>FGP’s Director</w:t>
      </w:r>
      <w:r>
        <w:rPr>
          <w:sz w:val="24"/>
          <w:szCs w:val="24"/>
        </w:rPr>
        <w:t xml:space="preserve"> made clear numerous times to the Rules</w:t>
      </w:r>
      <w:r w:rsidR="002F7464">
        <w:rPr>
          <w:sz w:val="24"/>
          <w:szCs w:val="24"/>
        </w:rPr>
        <w:t>’</w:t>
      </w:r>
      <w:r>
        <w:rPr>
          <w:sz w:val="24"/>
          <w:szCs w:val="24"/>
        </w:rPr>
        <w:t xml:space="preserve"> Executive Director, Alnoor Lahda, that while FGP was providing general support, it would be using program impact around tax work in Kenya to decide whe</w:t>
      </w:r>
      <w:r w:rsidR="003D5036">
        <w:rPr>
          <w:sz w:val="24"/>
          <w:szCs w:val="24"/>
        </w:rPr>
        <w:t xml:space="preserve">ther or not to continue funding.  </w:t>
      </w:r>
      <w:r>
        <w:rPr>
          <w:sz w:val="24"/>
          <w:szCs w:val="24"/>
        </w:rPr>
        <w:t>Alnoor clearly acknowledged this in return. Julie’s theory around the need for flexible financing turned out to be accurate—at one point they were about to furlough staff as they waited for FGP’s funds and another small grant to come through—however they did no</w:t>
      </w:r>
      <w:r w:rsidR="002F7464">
        <w:rPr>
          <w:sz w:val="24"/>
          <w:szCs w:val="24"/>
        </w:rPr>
        <w:t xml:space="preserve">t deliver on their promise of </w:t>
      </w:r>
      <w:r>
        <w:rPr>
          <w:sz w:val="24"/>
          <w:szCs w:val="24"/>
        </w:rPr>
        <w:t xml:space="preserve">further cultivating a social movement around illicit flows and tax in Kenya. Instead, they spent two thirds of FGP’s grant on overhead (mainly central staff salaries), and spent the last third during the final month of the grant on what was effectively an arts festival/workshop for activists that had little to do with tax and appears mainly an attempt to build a profile and CSO base for their broader work on land and environmental concerns there. They also demonstrated serious errors in judgment on the financial management front. Despite initial positive feedback from local CSOs </w:t>
      </w:r>
      <w:r w:rsidR="003007EC">
        <w:rPr>
          <w:sz w:val="24"/>
          <w:szCs w:val="24"/>
        </w:rPr>
        <w:t>about</w:t>
      </w:r>
      <w:r>
        <w:rPr>
          <w:sz w:val="24"/>
          <w:szCs w:val="24"/>
        </w:rPr>
        <w:t xml:space="preserve"> their engagement in Kenya, they likewise appear to have alienated a number of respected and influential tax justice activists throughout the course of their work. </w:t>
      </w:r>
      <w:r w:rsidR="002B0FB9">
        <w:rPr>
          <w:sz w:val="24"/>
          <w:szCs w:val="24"/>
        </w:rPr>
        <w:t xml:space="preserve">As a result, Julie decided not to renew funding, and had several frank conversations with Ladha </w:t>
      </w:r>
      <w:r w:rsidR="008C78FD">
        <w:rPr>
          <w:sz w:val="24"/>
          <w:szCs w:val="24"/>
        </w:rPr>
        <w:t>about FGP’s</w:t>
      </w:r>
      <w:r w:rsidR="002B0FB9">
        <w:rPr>
          <w:sz w:val="24"/>
          <w:szCs w:val="24"/>
        </w:rPr>
        <w:t xml:space="preserve"> disappointments </w:t>
      </w:r>
      <w:r w:rsidR="008C78FD">
        <w:rPr>
          <w:sz w:val="24"/>
          <w:szCs w:val="24"/>
        </w:rPr>
        <w:t>with how the</w:t>
      </w:r>
      <w:r w:rsidR="002B0FB9">
        <w:rPr>
          <w:sz w:val="24"/>
          <w:szCs w:val="24"/>
        </w:rPr>
        <w:t xml:space="preserve"> grant unfolded. </w:t>
      </w:r>
    </w:p>
    <w:p w:rsidR="00C8718A" w:rsidRDefault="00C8718A" w:rsidP="009E28EB">
      <w:pPr>
        <w:tabs>
          <w:tab w:val="left" w:pos="3845"/>
        </w:tabs>
        <w:spacing w:after="0" w:line="240" w:lineRule="auto"/>
        <w:jc w:val="both"/>
        <w:rPr>
          <w:sz w:val="24"/>
          <w:szCs w:val="24"/>
        </w:rPr>
      </w:pPr>
    </w:p>
    <w:p w:rsidR="00C8718A" w:rsidRDefault="00C8718A" w:rsidP="009E28EB">
      <w:pPr>
        <w:tabs>
          <w:tab w:val="left" w:pos="3845"/>
        </w:tabs>
        <w:spacing w:after="0" w:line="240" w:lineRule="auto"/>
        <w:jc w:val="both"/>
        <w:rPr>
          <w:sz w:val="24"/>
          <w:szCs w:val="24"/>
        </w:rPr>
      </w:pPr>
      <w:r>
        <w:rPr>
          <w:sz w:val="24"/>
          <w:szCs w:val="24"/>
        </w:rPr>
        <w:t xml:space="preserve">Julie spent a tremendous amount of time </w:t>
      </w:r>
      <w:r w:rsidR="00A67C05">
        <w:rPr>
          <w:sz w:val="24"/>
          <w:szCs w:val="24"/>
        </w:rPr>
        <w:t>prior to and during</w:t>
      </w:r>
      <w:r>
        <w:rPr>
          <w:sz w:val="24"/>
          <w:szCs w:val="24"/>
        </w:rPr>
        <w:t xml:space="preserve"> grant with the CEO and board chair, Liz Mc</w:t>
      </w:r>
      <w:r w:rsidR="00493FDE">
        <w:rPr>
          <w:sz w:val="24"/>
          <w:szCs w:val="24"/>
        </w:rPr>
        <w:t>K</w:t>
      </w:r>
      <w:r>
        <w:rPr>
          <w:sz w:val="24"/>
          <w:szCs w:val="24"/>
        </w:rPr>
        <w:t xml:space="preserve">eon,  encouraging them to set up a proper board, </w:t>
      </w:r>
      <w:r w:rsidR="003007EC">
        <w:rPr>
          <w:sz w:val="24"/>
          <w:szCs w:val="24"/>
        </w:rPr>
        <w:t xml:space="preserve">and </w:t>
      </w:r>
      <w:r>
        <w:rPr>
          <w:sz w:val="24"/>
          <w:szCs w:val="24"/>
        </w:rPr>
        <w:t xml:space="preserve">establish an operational structure that mirrored their commitment to being southern owned and southern based, and highlighting their initial successes with other funders.  They no doubt emerged stronger and better governed as an organization for all this effort, but with little to no impact on the illicit flows and tax justice field that we can ascertain today. In retrospect, </w:t>
      </w:r>
      <w:r w:rsidR="002F7464">
        <w:rPr>
          <w:sz w:val="24"/>
          <w:szCs w:val="24"/>
        </w:rPr>
        <w:t>FGP’s Director</w:t>
      </w:r>
      <w:r>
        <w:rPr>
          <w:sz w:val="24"/>
          <w:szCs w:val="24"/>
        </w:rPr>
        <w:t xml:space="preserve"> should have tuned in </w:t>
      </w:r>
      <w:r w:rsidR="003007EC">
        <w:rPr>
          <w:sz w:val="24"/>
          <w:szCs w:val="24"/>
        </w:rPr>
        <w:t>earlier</w:t>
      </w:r>
      <w:r>
        <w:rPr>
          <w:sz w:val="24"/>
          <w:szCs w:val="24"/>
        </w:rPr>
        <w:t xml:space="preserve"> to the CEO’s peripatetic intellectual tendencies, spotted the potential for him to take the work in a different direction than was agreed, and crafted a tighter project support grant with flexibility on overhead spending to keep the Rules afloat for the duration of the project. In an ideal world, she would have also monitored it more closely during the implementation phase, although without a staff at the time, this was unrealistic. Finally, FGP’s Director tried and failed multiple times to get input from OSIEA, which might have turned up some questions earlier on about the Rules</w:t>
      </w:r>
      <w:r w:rsidR="002F7464">
        <w:rPr>
          <w:sz w:val="24"/>
          <w:szCs w:val="24"/>
        </w:rPr>
        <w:t>’</w:t>
      </w:r>
      <w:r>
        <w:rPr>
          <w:sz w:val="24"/>
          <w:szCs w:val="24"/>
        </w:rPr>
        <w:t xml:space="preserve"> ability to effectively engage with a broad base of relevant civil society over the medium term—a concern that became immediately apparent once FGP’s Program Officer, Vera Mshana, who is familiar wi</w:t>
      </w:r>
      <w:r w:rsidR="003D5036">
        <w:rPr>
          <w:sz w:val="24"/>
          <w:szCs w:val="24"/>
        </w:rPr>
        <w:t>th Kenyan civil society, joined</w:t>
      </w:r>
      <w:r>
        <w:rPr>
          <w:sz w:val="24"/>
          <w:szCs w:val="24"/>
        </w:rPr>
        <w:t>.</w:t>
      </w:r>
    </w:p>
    <w:p w:rsidR="00C8718A" w:rsidRDefault="00C8718A" w:rsidP="009E28EB">
      <w:pPr>
        <w:tabs>
          <w:tab w:val="left" w:pos="3845"/>
        </w:tabs>
        <w:spacing w:after="0" w:line="240" w:lineRule="auto"/>
        <w:jc w:val="both"/>
        <w:rPr>
          <w:b/>
          <w:sz w:val="24"/>
          <w:szCs w:val="24"/>
        </w:rPr>
      </w:pPr>
    </w:p>
    <w:p w:rsidR="00C8718A" w:rsidRPr="00C8718A" w:rsidRDefault="00C8718A" w:rsidP="009E28EB">
      <w:pPr>
        <w:tabs>
          <w:tab w:val="left" w:pos="3845"/>
        </w:tabs>
        <w:spacing w:after="0" w:line="240" w:lineRule="auto"/>
        <w:jc w:val="both"/>
        <w:rPr>
          <w:sz w:val="24"/>
          <w:szCs w:val="24"/>
          <w:u w:val="single"/>
        </w:rPr>
      </w:pPr>
      <w:r w:rsidRPr="00C8718A">
        <w:rPr>
          <w:sz w:val="24"/>
          <w:szCs w:val="24"/>
          <w:u w:val="single"/>
        </w:rPr>
        <w:t>Assessment of the Field</w:t>
      </w:r>
      <w:r w:rsidR="000F1800">
        <w:rPr>
          <w:sz w:val="24"/>
          <w:szCs w:val="24"/>
          <w:u w:val="single"/>
        </w:rPr>
        <w:t>: Emerging Lessons and Concerns</w:t>
      </w:r>
    </w:p>
    <w:p w:rsidR="00705A54" w:rsidRDefault="00705A54" w:rsidP="009E28EB">
      <w:pPr>
        <w:tabs>
          <w:tab w:val="left" w:pos="3845"/>
        </w:tabs>
        <w:spacing w:after="0" w:line="240" w:lineRule="auto"/>
        <w:jc w:val="both"/>
        <w:rPr>
          <w:b/>
          <w:sz w:val="24"/>
          <w:szCs w:val="24"/>
        </w:rPr>
      </w:pPr>
    </w:p>
    <w:p w:rsidR="00E53920" w:rsidRDefault="00251D70" w:rsidP="009E28EB">
      <w:pPr>
        <w:tabs>
          <w:tab w:val="left" w:pos="3845"/>
        </w:tabs>
        <w:spacing w:after="0" w:line="240" w:lineRule="auto"/>
        <w:jc w:val="both"/>
        <w:rPr>
          <w:sz w:val="24"/>
          <w:szCs w:val="24"/>
        </w:rPr>
      </w:pPr>
      <w:r w:rsidRPr="00FE48CB">
        <w:rPr>
          <w:sz w:val="24"/>
          <w:szCs w:val="24"/>
        </w:rPr>
        <w:t xml:space="preserve">One of the </w:t>
      </w:r>
      <w:r w:rsidR="003960EC" w:rsidRPr="00FE48CB">
        <w:rPr>
          <w:sz w:val="24"/>
          <w:szCs w:val="24"/>
        </w:rPr>
        <w:t xml:space="preserve">overall </w:t>
      </w:r>
      <w:r w:rsidRPr="00FE48CB">
        <w:rPr>
          <w:sz w:val="24"/>
          <w:szCs w:val="24"/>
        </w:rPr>
        <w:t xml:space="preserve">concerns that </w:t>
      </w:r>
      <w:r w:rsidR="00A67C05">
        <w:rPr>
          <w:sz w:val="24"/>
          <w:szCs w:val="24"/>
        </w:rPr>
        <w:t>has emerged for FGP is the</w:t>
      </w:r>
      <w:r w:rsidRPr="00FE48CB">
        <w:rPr>
          <w:sz w:val="24"/>
          <w:szCs w:val="24"/>
        </w:rPr>
        <w:t xml:space="preserve"> credibility </w:t>
      </w:r>
      <w:r w:rsidR="003960EC">
        <w:rPr>
          <w:sz w:val="24"/>
          <w:szCs w:val="24"/>
        </w:rPr>
        <w:t xml:space="preserve">issues </w:t>
      </w:r>
      <w:r w:rsidR="000F5D02">
        <w:rPr>
          <w:sz w:val="24"/>
          <w:szCs w:val="24"/>
        </w:rPr>
        <w:t>plaguing</w:t>
      </w:r>
      <w:r w:rsidR="003960EC">
        <w:rPr>
          <w:sz w:val="24"/>
          <w:szCs w:val="24"/>
        </w:rPr>
        <w:t xml:space="preserve"> </w:t>
      </w:r>
      <w:r w:rsidR="00E53920" w:rsidRPr="00FE48CB">
        <w:rPr>
          <w:sz w:val="24"/>
          <w:szCs w:val="24"/>
        </w:rPr>
        <w:t xml:space="preserve">the </w:t>
      </w:r>
      <w:r w:rsidR="000F5D02">
        <w:rPr>
          <w:sz w:val="24"/>
          <w:szCs w:val="24"/>
        </w:rPr>
        <w:t>IFF data (</w:t>
      </w:r>
      <w:r w:rsidRPr="00FE48CB">
        <w:rPr>
          <w:sz w:val="24"/>
          <w:szCs w:val="24"/>
        </w:rPr>
        <w:t>primarily GFI’s data</w:t>
      </w:r>
      <w:r w:rsidR="000F5D02">
        <w:rPr>
          <w:sz w:val="24"/>
          <w:szCs w:val="24"/>
        </w:rPr>
        <w:t>),</w:t>
      </w:r>
      <w:r w:rsidR="00763DC2">
        <w:rPr>
          <w:sz w:val="24"/>
          <w:szCs w:val="24"/>
        </w:rPr>
        <w:t xml:space="preserve"> </w:t>
      </w:r>
      <w:r w:rsidR="003007EC">
        <w:rPr>
          <w:sz w:val="24"/>
          <w:szCs w:val="24"/>
        </w:rPr>
        <w:t>which</w:t>
      </w:r>
      <w:r w:rsidRPr="00FE48CB">
        <w:rPr>
          <w:sz w:val="24"/>
          <w:szCs w:val="24"/>
        </w:rPr>
        <w:t xml:space="preserve"> underpins much of what is known </w:t>
      </w:r>
      <w:r w:rsidR="000F5D02">
        <w:rPr>
          <w:sz w:val="24"/>
          <w:szCs w:val="24"/>
        </w:rPr>
        <w:t>and discussed in policy circles around IFF to date</w:t>
      </w:r>
      <w:r w:rsidRPr="00FE48CB">
        <w:rPr>
          <w:sz w:val="24"/>
          <w:szCs w:val="24"/>
        </w:rPr>
        <w:t xml:space="preserve">.  </w:t>
      </w:r>
      <w:r w:rsidR="00F95DCC">
        <w:rPr>
          <w:sz w:val="24"/>
          <w:szCs w:val="24"/>
        </w:rPr>
        <w:t xml:space="preserve">Despite </w:t>
      </w:r>
      <w:r w:rsidR="00F95DCC" w:rsidRPr="00FE48CB">
        <w:rPr>
          <w:sz w:val="24"/>
          <w:szCs w:val="24"/>
        </w:rPr>
        <w:t>GFI’s</w:t>
      </w:r>
      <w:r w:rsidRPr="00FE48CB">
        <w:rPr>
          <w:sz w:val="24"/>
          <w:szCs w:val="24"/>
        </w:rPr>
        <w:t xml:space="preserve"> transparency about their methodology</w:t>
      </w:r>
      <w:r w:rsidR="003960EC">
        <w:rPr>
          <w:sz w:val="24"/>
          <w:szCs w:val="24"/>
        </w:rPr>
        <w:t xml:space="preserve">, </w:t>
      </w:r>
      <w:r w:rsidRPr="00FE48CB">
        <w:rPr>
          <w:sz w:val="24"/>
          <w:szCs w:val="24"/>
        </w:rPr>
        <w:t>the two leading inter</w:t>
      </w:r>
      <w:r w:rsidR="00E60972">
        <w:rPr>
          <w:sz w:val="24"/>
          <w:szCs w:val="24"/>
        </w:rPr>
        <w:t>national financial institutions</w:t>
      </w:r>
      <w:r w:rsidR="00D21129">
        <w:rPr>
          <w:sz w:val="24"/>
          <w:szCs w:val="24"/>
        </w:rPr>
        <w:t xml:space="preserve"> (the International Monetary Fund and the World Bank)</w:t>
      </w:r>
      <w:r w:rsidR="00E60972">
        <w:rPr>
          <w:sz w:val="24"/>
          <w:szCs w:val="24"/>
        </w:rPr>
        <w:t xml:space="preserve"> </w:t>
      </w:r>
      <w:r w:rsidRPr="00FE48CB">
        <w:rPr>
          <w:sz w:val="24"/>
          <w:szCs w:val="24"/>
        </w:rPr>
        <w:t>a</w:t>
      </w:r>
      <w:r w:rsidR="00E53920" w:rsidRPr="00FE48CB">
        <w:rPr>
          <w:sz w:val="24"/>
          <w:szCs w:val="24"/>
        </w:rPr>
        <w:t>re markedly silent on the issue</w:t>
      </w:r>
      <w:r w:rsidR="00E60972">
        <w:rPr>
          <w:sz w:val="24"/>
          <w:szCs w:val="24"/>
        </w:rPr>
        <w:t xml:space="preserve"> </w:t>
      </w:r>
      <w:r w:rsidR="002C3251">
        <w:rPr>
          <w:sz w:val="24"/>
          <w:szCs w:val="24"/>
        </w:rPr>
        <w:t>even though</w:t>
      </w:r>
      <w:r w:rsidR="00E60972">
        <w:rPr>
          <w:sz w:val="24"/>
          <w:szCs w:val="24"/>
        </w:rPr>
        <w:t xml:space="preserve"> </w:t>
      </w:r>
      <w:r w:rsidR="002C3251">
        <w:rPr>
          <w:sz w:val="24"/>
          <w:szCs w:val="24"/>
        </w:rPr>
        <w:t xml:space="preserve">the trade statistics used by </w:t>
      </w:r>
      <w:r w:rsidR="00763DC2">
        <w:rPr>
          <w:sz w:val="24"/>
          <w:szCs w:val="24"/>
        </w:rPr>
        <w:t>GFI</w:t>
      </w:r>
      <w:r w:rsidR="002C3251">
        <w:rPr>
          <w:sz w:val="24"/>
          <w:szCs w:val="24"/>
        </w:rPr>
        <w:t xml:space="preserve"> </w:t>
      </w:r>
      <w:r w:rsidR="00E60972">
        <w:rPr>
          <w:sz w:val="24"/>
          <w:szCs w:val="24"/>
        </w:rPr>
        <w:t>emanates from the IMF.</w:t>
      </w:r>
      <w:r w:rsidR="003007EC">
        <w:rPr>
          <w:sz w:val="24"/>
          <w:szCs w:val="24"/>
        </w:rPr>
        <w:t xml:space="preserve"> Behind the scenes both the World Bank and IMF grumble about the quality of the data and GFI’s methodology, but no serious peer review has yet emerged.</w:t>
      </w:r>
      <w:r w:rsidR="00E60972">
        <w:rPr>
          <w:sz w:val="24"/>
          <w:szCs w:val="24"/>
        </w:rPr>
        <w:t xml:space="preserve">  </w:t>
      </w:r>
      <w:r w:rsidR="00A67C05">
        <w:rPr>
          <w:sz w:val="24"/>
          <w:szCs w:val="24"/>
        </w:rPr>
        <w:t>While</w:t>
      </w:r>
      <w:r w:rsidR="00FE48CB" w:rsidRPr="00FE48CB">
        <w:rPr>
          <w:sz w:val="24"/>
          <w:szCs w:val="24"/>
        </w:rPr>
        <w:t xml:space="preserve"> FGP </w:t>
      </w:r>
      <w:r w:rsidR="00763DC2">
        <w:rPr>
          <w:sz w:val="24"/>
          <w:szCs w:val="24"/>
        </w:rPr>
        <w:t xml:space="preserve">supports </w:t>
      </w:r>
      <w:r w:rsidR="00A67C05">
        <w:rPr>
          <w:sz w:val="24"/>
          <w:szCs w:val="24"/>
        </w:rPr>
        <w:t>having a</w:t>
      </w:r>
      <w:r w:rsidR="00763DC2">
        <w:rPr>
          <w:sz w:val="24"/>
          <w:szCs w:val="24"/>
        </w:rPr>
        <w:t xml:space="preserve"> plurality of perspectives on</w:t>
      </w:r>
      <w:r w:rsidR="00E60972">
        <w:rPr>
          <w:sz w:val="24"/>
          <w:szCs w:val="24"/>
        </w:rPr>
        <w:t xml:space="preserve"> </w:t>
      </w:r>
      <w:r w:rsidR="00FE48CB" w:rsidRPr="00FE48CB">
        <w:rPr>
          <w:sz w:val="24"/>
          <w:szCs w:val="24"/>
        </w:rPr>
        <w:t xml:space="preserve">the nature/drivers of IFF, </w:t>
      </w:r>
      <w:r w:rsidR="000F1800">
        <w:rPr>
          <w:sz w:val="24"/>
          <w:szCs w:val="24"/>
        </w:rPr>
        <w:t xml:space="preserve">with only </w:t>
      </w:r>
      <w:r w:rsidR="003007EC">
        <w:rPr>
          <w:sz w:val="24"/>
          <w:szCs w:val="24"/>
        </w:rPr>
        <w:t>one existing intellectual analysis of the problem</w:t>
      </w:r>
      <w:r w:rsidR="00FE48CB" w:rsidRPr="00FE48CB">
        <w:rPr>
          <w:sz w:val="24"/>
          <w:szCs w:val="24"/>
        </w:rPr>
        <w:t xml:space="preserve">, </w:t>
      </w:r>
      <w:r w:rsidR="00FE48CB" w:rsidRPr="00FE48CB">
        <w:rPr>
          <w:rFonts w:cs="Times New Roman"/>
          <w:sz w:val="24"/>
          <w:szCs w:val="24"/>
        </w:rPr>
        <w:t xml:space="preserve">it is unclear whether or not the policy recommendations </w:t>
      </w:r>
      <w:r w:rsidR="00A67C05">
        <w:rPr>
          <w:rFonts w:cs="Times New Roman"/>
          <w:sz w:val="24"/>
          <w:szCs w:val="24"/>
        </w:rPr>
        <w:t>emerging from this analysis</w:t>
      </w:r>
      <w:r w:rsidR="00FE48CB" w:rsidRPr="00FE48CB">
        <w:rPr>
          <w:rFonts w:cs="Times New Roman"/>
          <w:sz w:val="24"/>
          <w:szCs w:val="24"/>
        </w:rPr>
        <w:t xml:space="preserve"> will </w:t>
      </w:r>
      <w:r w:rsidR="00E60972">
        <w:rPr>
          <w:rFonts w:cs="Times New Roman"/>
          <w:sz w:val="24"/>
          <w:szCs w:val="24"/>
        </w:rPr>
        <w:t xml:space="preserve">ultimately </w:t>
      </w:r>
      <w:r w:rsidR="00FE48CB" w:rsidRPr="00FE48CB">
        <w:rPr>
          <w:rFonts w:cs="Times New Roman"/>
          <w:sz w:val="24"/>
          <w:szCs w:val="24"/>
        </w:rPr>
        <w:t xml:space="preserve">be effective.  </w:t>
      </w:r>
      <w:r w:rsidR="00E53920" w:rsidRPr="00FE48CB">
        <w:rPr>
          <w:sz w:val="24"/>
          <w:szCs w:val="24"/>
        </w:rPr>
        <w:t>From our perspective, we are far less conc</w:t>
      </w:r>
      <w:r w:rsidR="000F5D02">
        <w:rPr>
          <w:sz w:val="24"/>
          <w:szCs w:val="24"/>
        </w:rPr>
        <w:t>erned with the magnitude of IFF</w:t>
      </w:r>
      <w:r w:rsidR="00E53920" w:rsidRPr="00FE48CB">
        <w:rPr>
          <w:sz w:val="24"/>
          <w:szCs w:val="24"/>
        </w:rPr>
        <w:t xml:space="preserve"> than we are about what the numbers signify, particularly at country </w:t>
      </w:r>
      <w:r w:rsidR="00FE48CB">
        <w:rPr>
          <w:sz w:val="24"/>
          <w:szCs w:val="24"/>
        </w:rPr>
        <w:t xml:space="preserve">and regional </w:t>
      </w:r>
      <w:r w:rsidR="00E53920" w:rsidRPr="00FE48CB">
        <w:rPr>
          <w:sz w:val="24"/>
          <w:szCs w:val="24"/>
        </w:rPr>
        <w:t xml:space="preserve">level, and </w:t>
      </w:r>
      <w:r w:rsidR="000F5D02">
        <w:rPr>
          <w:sz w:val="24"/>
          <w:szCs w:val="24"/>
        </w:rPr>
        <w:t>how a more nuanced understanding of the various forms of IFF</w:t>
      </w:r>
      <w:r w:rsidR="00E53920" w:rsidRPr="00FE48CB">
        <w:rPr>
          <w:sz w:val="24"/>
          <w:szCs w:val="24"/>
        </w:rPr>
        <w:t xml:space="preserve"> can be used by policymakers to make informed, evidence-based </w:t>
      </w:r>
      <w:r w:rsidR="000F1800">
        <w:rPr>
          <w:sz w:val="24"/>
          <w:szCs w:val="24"/>
        </w:rPr>
        <w:t>decisions</w:t>
      </w:r>
      <w:r w:rsidR="00E53920" w:rsidRPr="00FE48CB">
        <w:rPr>
          <w:sz w:val="24"/>
          <w:szCs w:val="24"/>
        </w:rPr>
        <w:t xml:space="preserve">.  As discussed above, </w:t>
      </w:r>
      <w:r w:rsidR="00FE48CB">
        <w:rPr>
          <w:sz w:val="24"/>
          <w:szCs w:val="24"/>
        </w:rPr>
        <w:t>it remains to be seen whether or not our support to CGD will</w:t>
      </w:r>
      <w:r w:rsidR="00763DC2">
        <w:rPr>
          <w:sz w:val="24"/>
          <w:szCs w:val="24"/>
        </w:rPr>
        <w:t xml:space="preserve"> ultimately</w:t>
      </w:r>
      <w:r w:rsidR="00A67C05">
        <w:rPr>
          <w:sz w:val="24"/>
          <w:szCs w:val="24"/>
        </w:rPr>
        <w:t xml:space="preserve"> help</w:t>
      </w:r>
      <w:r w:rsidR="00FE48CB">
        <w:rPr>
          <w:sz w:val="24"/>
          <w:szCs w:val="24"/>
        </w:rPr>
        <w:t xml:space="preserve"> address this research gap, which is much needed to positively develop the field and counter the </w:t>
      </w:r>
      <w:r w:rsidR="003960EC">
        <w:rPr>
          <w:sz w:val="24"/>
          <w:szCs w:val="24"/>
        </w:rPr>
        <w:t xml:space="preserve">potential </w:t>
      </w:r>
      <w:r w:rsidR="00FE48CB">
        <w:rPr>
          <w:sz w:val="24"/>
          <w:szCs w:val="24"/>
        </w:rPr>
        <w:t xml:space="preserve">political </w:t>
      </w:r>
      <w:r w:rsidR="00A8027E">
        <w:rPr>
          <w:sz w:val="24"/>
          <w:szCs w:val="24"/>
        </w:rPr>
        <w:t>‘backlash’</w:t>
      </w:r>
      <w:r w:rsidR="003960EC">
        <w:rPr>
          <w:sz w:val="24"/>
          <w:szCs w:val="24"/>
        </w:rPr>
        <w:t xml:space="preserve"> </w:t>
      </w:r>
      <w:r w:rsidR="00A67C05">
        <w:rPr>
          <w:sz w:val="24"/>
          <w:szCs w:val="24"/>
        </w:rPr>
        <w:t xml:space="preserve">against IFF efforts </w:t>
      </w:r>
      <w:r w:rsidR="003960EC">
        <w:rPr>
          <w:sz w:val="24"/>
          <w:szCs w:val="24"/>
        </w:rPr>
        <w:t xml:space="preserve">if the credibility concerns are not </w:t>
      </w:r>
      <w:r w:rsidR="00763DC2">
        <w:rPr>
          <w:sz w:val="24"/>
          <w:szCs w:val="24"/>
        </w:rPr>
        <w:t>taken seriously</w:t>
      </w:r>
      <w:r w:rsidR="00FE48CB">
        <w:rPr>
          <w:sz w:val="24"/>
          <w:szCs w:val="24"/>
        </w:rPr>
        <w:t>.</w:t>
      </w:r>
      <w:r w:rsidR="003960EC">
        <w:rPr>
          <w:sz w:val="24"/>
          <w:szCs w:val="24"/>
        </w:rPr>
        <w:t xml:space="preserve">  </w:t>
      </w:r>
      <w:r w:rsidR="00A67C05">
        <w:rPr>
          <w:sz w:val="24"/>
          <w:szCs w:val="24"/>
        </w:rPr>
        <w:t xml:space="preserve">We also plan to encourage/support proper peer review of GFI’s work. </w:t>
      </w:r>
    </w:p>
    <w:p w:rsidR="000F1800" w:rsidRDefault="000F1800" w:rsidP="009E28EB">
      <w:pPr>
        <w:tabs>
          <w:tab w:val="left" w:pos="3845"/>
        </w:tabs>
        <w:spacing w:after="0" w:line="240" w:lineRule="auto"/>
        <w:jc w:val="both"/>
        <w:rPr>
          <w:sz w:val="24"/>
          <w:szCs w:val="24"/>
        </w:rPr>
      </w:pPr>
    </w:p>
    <w:p w:rsidR="006D0D46" w:rsidRDefault="006D0D46" w:rsidP="009E28EB">
      <w:pPr>
        <w:tabs>
          <w:tab w:val="left" w:pos="3845"/>
        </w:tabs>
        <w:spacing w:after="0" w:line="240" w:lineRule="auto"/>
        <w:jc w:val="both"/>
        <w:rPr>
          <w:sz w:val="24"/>
          <w:szCs w:val="24"/>
        </w:rPr>
      </w:pPr>
      <w:r>
        <w:rPr>
          <w:sz w:val="24"/>
          <w:szCs w:val="24"/>
        </w:rPr>
        <w:t xml:space="preserve">Another issue that has emerged </w:t>
      </w:r>
      <w:r w:rsidR="00444A7D">
        <w:rPr>
          <w:sz w:val="24"/>
          <w:szCs w:val="24"/>
        </w:rPr>
        <w:t xml:space="preserve">is </w:t>
      </w:r>
      <w:r>
        <w:rPr>
          <w:sz w:val="24"/>
          <w:szCs w:val="24"/>
        </w:rPr>
        <w:t xml:space="preserve">the conceptual tension within the leading groups between those who remain narrowly focused on </w:t>
      </w:r>
      <w:r w:rsidR="00436DA3">
        <w:rPr>
          <w:sz w:val="24"/>
          <w:szCs w:val="24"/>
        </w:rPr>
        <w:t xml:space="preserve">‘tax </w:t>
      </w:r>
      <w:r>
        <w:rPr>
          <w:sz w:val="24"/>
          <w:szCs w:val="24"/>
        </w:rPr>
        <w:t>transparency</w:t>
      </w:r>
      <w:r w:rsidR="00436DA3">
        <w:rPr>
          <w:sz w:val="24"/>
          <w:szCs w:val="24"/>
        </w:rPr>
        <w:t>’</w:t>
      </w:r>
      <w:r w:rsidR="00A8027E">
        <w:rPr>
          <w:sz w:val="24"/>
          <w:szCs w:val="24"/>
        </w:rPr>
        <w:t xml:space="preserve"> as the silver bullet strategy</w:t>
      </w:r>
      <w:r w:rsidR="00436DA3">
        <w:rPr>
          <w:sz w:val="24"/>
          <w:szCs w:val="24"/>
        </w:rPr>
        <w:t xml:space="preserve"> to addressing illicit flows and tax evasion/aggressive tax avoidance</w:t>
      </w:r>
      <w:r>
        <w:rPr>
          <w:sz w:val="24"/>
          <w:szCs w:val="24"/>
        </w:rPr>
        <w:t xml:space="preserve">, and those that </w:t>
      </w:r>
      <w:r w:rsidR="00436DA3">
        <w:rPr>
          <w:sz w:val="24"/>
          <w:szCs w:val="24"/>
        </w:rPr>
        <w:t>focus on</w:t>
      </w:r>
      <w:r w:rsidR="00A67C05">
        <w:rPr>
          <w:sz w:val="24"/>
          <w:szCs w:val="24"/>
        </w:rPr>
        <w:t xml:space="preserve"> ‘tax policy.’  This division i</w:t>
      </w:r>
      <w:r w:rsidR="00436DA3">
        <w:rPr>
          <w:sz w:val="24"/>
          <w:szCs w:val="24"/>
        </w:rPr>
        <w:t>s cleare</w:t>
      </w:r>
      <w:r w:rsidR="002D739E">
        <w:rPr>
          <w:sz w:val="24"/>
          <w:szCs w:val="24"/>
        </w:rPr>
        <w:t xml:space="preserve">st within FTC, in which members officially describe themselves as coalescing </w:t>
      </w:r>
      <w:r w:rsidR="00436DA3">
        <w:rPr>
          <w:sz w:val="24"/>
          <w:szCs w:val="24"/>
        </w:rPr>
        <w:t>around transparency of information that will inform tax policy choices.  However, in separate conversations with the regional members, it was clear that they re</w:t>
      </w:r>
      <w:r>
        <w:rPr>
          <w:sz w:val="24"/>
          <w:szCs w:val="24"/>
        </w:rPr>
        <w:t>cognize</w:t>
      </w:r>
      <w:r w:rsidR="00436DA3">
        <w:rPr>
          <w:sz w:val="24"/>
          <w:szCs w:val="24"/>
        </w:rPr>
        <w:t>d</w:t>
      </w:r>
      <w:r>
        <w:rPr>
          <w:sz w:val="24"/>
          <w:szCs w:val="24"/>
        </w:rPr>
        <w:t xml:space="preserve"> t</w:t>
      </w:r>
      <w:r w:rsidR="00436DA3">
        <w:rPr>
          <w:sz w:val="24"/>
          <w:szCs w:val="24"/>
        </w:rPr>
        <w:t>h</w:t>
      </w:r>
      <w:r w:rsidR="003A4B73">
        <w:rPr>
          <w:sz w:val="24"/>
          <w:szCs w:val="24"/>
        </w:rPr>
        <w:t>at</w:t>
      </w:r>
      <w:r w:rsidR="00436DA3">
        <w:rPr>
          <w:sz w:val="24"/>
          <w:szCs w:val="24"/>
        </w:rPr>
        <w:t xml:space="preserve"> </w:t>
      </w:r>
      <w:r w:rsidR="002D739E">
        <w:rPr>
          <w:sz w:val="24"/>
          <w:szCs w:val="24"/>
        </w:rPr>
        <w:t xml:space="preserve">tax transparency is </w:t>
      </w:r>
      <w:r w:rsidR="00A67C05">
        <w:rPr>
          <w:sz w:val="24"/>
          <w:szCs w:val="24"/>
        </w:rPr>
        <w:t>one of numerous</w:t>
      </w:r>
      <w:r w:rsidR="002D739E">
        <w:rPr>
          <w:sz w:val="24"/>
          <w:szCs w:val="24"/>
        </w:rPr>
        <w:t xml:space="preserve"> tax policy issue</w:t>
      </w:r>
      <w:r w:rsidR="00A67C05">
        <w:rPr>
          <w:sz w:val="24"/>
          <w:szCs w:val="24"/>
        </w:rPr>
        <w:t>s</w:t>
      </w:r>
      <w:r w:rsidR="00D55AB1">
        <w:rPr>
          <w:sz w:val="24"/>
          <w:szCs w:val="24"/>
        </w:rPr>
        <w:t xml:space="preserve"> (and therefore they are in fact working on tax policy issues, even if not identified as such)</w:t>
      </w:r>
      <w:r w:rsidR="002D739E">
        <w:rPr>
          <w:sz w:val="24"/>
          <w:szCs w:val="24"/>
        </w:rPr>
        <w:t xml:space="preserve">, and that much more than a ‘tax transparency’ agenda will be needed to address the myriad of </w:t>
      </w:r>
      <w:r w:rsidR="003F31E4">
        <w:rPr>
          <w:sz w:val="24"/>
          <w:szCs w:val="24"/>
        </w:rPr>
        <w:t>tax leakages</w:t>
      </w:r>
      <w:r w:rsidR="003A4B73">
        <w:rPr>
          <w:sz w:val="24"/>
          <w:szCs w:val="24"/>
        </w:rPr>
        <w:t xml:space="preserve"> experienced</w:t>
      </w:r>
      <w:r w:rsidR="002D739E">
        <w:rPr>
          <w:sz w:val="24"/>
          <w:szCs w:val="24"/>
        </w:rPr>
        <w:t xml:space="preserve"> in their regions, </w:t>
      </w:r>
      <w:r w:rsidR="00A8027E">
        <w:rPr>
          <w:sz w:val="24"/>
          <w:szCs w:val="24"/>
        </w:rPr>
        <w:t xml:space="preserve">such as </w:t>
      </w:r>
      <w:r w:rsidR="00A67C05">
        <w:rPr>
          <w:sz w:val="24"/>
          <w:szCs w:val="24"/>
        </w:rPr>
        <w:t xml:space="preserve">dealing with </w:t>
      </w:r>
      <w:r w:rsidR="00A8027E">
        <w:rPr>
          <w:sz w:val="24"/>
          <w:szCs w:val="24"/>
        </w:rPr>
        <w:t>tax incentives (and the attendant harmful tax competition), informal sector taxation, transfer price abuse (prevalent within the extractives industry), the tax treatment of indirect transfer of interest/asset, tax treaty abuse</w:t>
      </w:r>
      <w:r w:rsidR="005A3545">
        <w:rPr>
          <w:sz w:val="24"/>
          <w:szCs w:val="24"/>
        </w:rPr>
        <w:t xml:space="preserve">, and </w:t>
      </w:r>
      <w:r w:rsidR="00B83318">
        <w:rPr>
          <w:sz w:val="24"/>
          <w:szCs w:val="24"/>
        </w:rPr>
        <w:t>the failure to demonstrate</w:t>
      </w:r>
      <w:r w:rsidR="005A3545">
        <w:rPr>
          <w:sz w:val="24"/>
          <w:szCs w:val="24"/>
        </w:rPr>
        <w:t xml:space="preserve"> the value proposition of paying taxes</w:t>
      </w:r>
      <w:r w:rsidR="00A67C05">
        <w:rPr>
          <w:sz w:val="24"/>
          <w:szCs w:val="24"/>
        </w:rPr>
        <w:t xml:space="preserve"> for citizens</w:t>
      </w:r>
      <w:r w:rsidR="00A8027E">
        <w:rPr>
          <w:sz w:val="24"/>
          <w:szCs w:val="24"/>
        </w:rPr>
        <w:t xml:space="preserve">.  </w:t>
      </w:r>
      <w:r w:rsidR="00763DC2">
        <w:rPr>
          <w:sz w:val="24"/>
          <w:szCs w:val="24"/>
        </w:rPr>
        <w:t xml:space="preserve">Since the public messaging around the </w:t>
      </w:r>
      <w:r w:rsidR="00A67C05">
        <w:rPr>
          <w:sz w:val="24"/>
          <w:szCs w:val="24"/>
        </w:rPr>
        <w:t xml:space="preserve">IFF and tax </w:t>
      </w:r>
      <w:r w:rsidR="00763DC2">
        <w:rPr>
          <w:sz w:val="24"/>
          <w:szCs w:val="24"/>
        </w:rPr>
        <w:t>campaign is primarily couched in terms of transparency, there is a risk that public and political momentum will dwindle as progress is made on the transparency front</w:t>
      </w:r>
      <w:r w:rsidR="00A67C05">
        <w:rPr>
          <w:sz w:val="24"/>
          <w:szCs w:val="24"/>
        </w:rPr>
        <w:t>, but little impact is seen around domestic resource mobilization, for example</w:t>
      </w:r>
      <w:r w:rsidR="00763DC2">
        <w:rPr>
          <w:sz w:val="24"/>
          <w:szCs w:val="24"/>
        </w:rPr>
        <w:t xml:space="preserve">.  Further, </w:t>
      </w:r>
      <w:r w:rsidR="003F31E4">
        <w:rPr>
          <w:sz w:val="24"/>
          <w:szCs w:val="24"/>
        </w:rPr>
        <w:t>it is unclear if the</w:t>
      </w:r>
      <w:r w:rsidR="00A67C05">
        <w:rPr>
          <w:sz w:val="24"/>
          <w:szCs w:val="24"/>
        </w:rPr>
        <w:t xml:space="preserve"> international IFF</w:t>
      </w:r>
      <w:r w:rsidR="003F31E4">
        <w:rPr>
          <w:sz w:val="24"/>
          <w:szCs w:val="24"/>
        </w:rPr>
        <w:t xml:space="preserve"> groups </w:t>
      </w:r>
      <w:r w:rsidR="007F7A9B">
        <w:rPr>
          <w:sz w:val="24"/>
          <w:szCs w:val="24"/>
        </w:rPr>
        <w:t>are</w:t>
      </w:r>
      <w:r w:rsidR="003F31E4">
        <w:rPr>
          <w:sz w:val="24"/>
          <w:szCs w:val="24"/>
        </w:rPr>
        <w:t xml:space="preserve"> willing to shift their focus towards other tax policy issues that remain of great concern to their developing country counterparts, </w:t>
      </w:r>
      <w:r w:rsidR="00CA042F">
        <w:rPr>
          <w:sz w:val="24"/>
          <w:szCs w:val="24"/>
        </w:rPr>
        <w:t>which</w:t>
      </w:r>
      <w:r w:rsidR="001F24D7">
        <w:rPr>
          <w:sz w:val="24"/>
          <w:szCs w:val="24"/>
        </w:rPr>
        <w:t xml:space="preserve"> would be a missed opportunity for </w:t>
      </w:r>
      <w:r w:rsidR="00CA042F">
        <w:rPr>
          <w:sz w:val="24"/>
          <w:szCs w:val="24"/>
        </w:rPr>
        <w:t xml:space="preserve">meaningful </w:t>
      </w:r>
      <w:r w:rsidR="001F24D7">
        <w:rPr>
          <w:sz w:val="24"/>
          <w:szCs w:val="24"/>
        </w:rPr>
        <w:t>collective action</w:t>
      </w:r>
      <w:r w:rsidR="00CA042F">
        <w:rPr>
          <w:sz w:val="24"/>
          <w:szCs w:val="24"/>
        </w:rPr>
        <w:t xml:space="preserve">, as they </w:t>
      </w:r>
      <w:r w:rsidR="007F7A9B">
        <w:rPr>
          <w:sz w:val="24"/>
          <w:szCs w:val="24"/>
        </w:rPr>
        <w:t>continue to carry out</w:t>
      </w:r>
      <w:r w:rsidR="00A67C05">
        <w:rPr>
          <w:sz w:val="24"/>
          <w:szCs w:val="24"/>
        </w:rPr>
        <w:t xml:space="preserve"> </w:t>
      </w:r>
      <w:r w:rsidR="00CA042F">
        <w:rPr>
          <w:sz w:val="24"/>
          <w:szCs w:val="24"/>
        </w:rPr>
        <w:t>the transparency agenda</w:t>
      </w:r>
      <w:r w:rsidR="00763DC2">
        <w:rPr>
          <w:sz w:val="24"/>
          <w:szCs w:val="24"/>
        </w:rPr>
        <w:t xml:space="preserve">.  </w:t>
      </w:r>
    </w:p>
    <w:p w:rsidR="000F1800" w:rsidRDefault="000F1800" w:rsidP="009E28EB">
      <w:pPr>
        <w:tabs>
          <w:tab w:val="left" w:pos="3845"/>
        </w:tabs>
        <w:spacing w:after="0" w:line="240" w:lineRule="auto"/>
        <w:jc w:val="both"/>
        <w:rPr>
          <w:sz w:val="24"/>
          <w:szCs w:val="24"/>
        </w:rPr>
      </w:pPr>
    </w:p>
    <w:p w:rsidR="000F1800" w:rsidRPr="00C97E07" w:rsidRDefault="00684194" w:rsidP="009E28EB">
      <w:pPr>
        <w:tabs>
          <w:tab w:val="left" w:pos="3845"/>
        </w:tabs>
        <w:spacing w:after="0" w:line="240" w:lineRule="auto"/>
        <w:jc w:val="both"/>
        <w:rPr>
          <w:rFonts w:ascii="Times New Roman" w:hAnsi="Times New Roman" w:cs="Times New Roman"/>
          <w:sz w:val="24"/>
          <w:szCs w:val="24"/>
        </w:rPr>
      </w:pPr>
      <w:r>
        <w:rPr>
          <w:sz w:val="24"/>
          <w:szCs w:val="24"/>
        </w:rPr>
        <w:t xml:space="preserve">Finally, </w:t>
      </w:r>
      <w:r w:rsidR="001F24D7">
        <w:rPr>
          <w:sz w:val="24"/>
          <w:szCs w:val="24"/>
        </w:rPr>
        <w:t>an</w:t>
      </w:r>
      <w:r w:rsidR="003F31E4">
        <w:rPr>
          <w:sz w:val="24"/>
          <w:szCs w:val="24"/>
        </w:rPr>
        <w:t xml:space="preserve"> emerging area of concern that is clear from </w:t>
      </w:r>
      <w:r w:rsidR="00CA042F">
        <w:rPr>
          <w:sz w:val="24"/>
          <w:szCs w:val="24"/>
        </w:rPr>
        <w:t xml:space="preserve">recent </w:t>
      </w:r>
      <w:r w:rsidR="003F31E4">
        <w:rPr>
          <w:sz w:val="24"/>
          <w:szCs w:val="24"/>
        </w:rPr>
        <w:t xml:space="preserve">media reports is the </w:t>
      </w:r>
      <w:r w:rsidR="00CA042F">
        <w:rPr>
          <w:sz w:val="24"/>
          <w:szCs w:val="24"/>
        </w:rPr>
        <w:t xml:space="preserve">apparent </w:t>
      </w:r>
      <w:r w:rsidR="003F31E4">
        <w:rPr>
          <w:sz w:val="24"/>
          <w:szCs w:val="24"/>
        </w:rPr>
        <w:t>lack of support</w:t>
      </w:r>
      <w:r w:rsidR="00A67C05">
        <w:rPr>
          <w:sz w:val="24"/>
          <w:szCs w:val="24"/>
        </w:rPr>
        <w:t xml:space="preserve"> that the groups we fund</w:t>
      </w:r>
      <w:r w:rsidR="00CA042F">
        <w:rPr>
          <w:sz w:val="24"/>
          <w:szCs w:val="24"/>
        </w:rPr>
        <w:t xml:space="preserve"> as well as key institutions (</w:t>
      </w:r>
      <w:r w:rsidR="007F7A9B">
        <w:rPr>
          <w:sz w:val="24"/>
          <w:szCs w:val="24"/>
        </w:rPr>
        <w:t>e.g.</w:t>
      </w:r>
      <w:r w:rsidR="00CA042F">
        <w:rPr>
          <w:sz w:val="24"/>
          <w:szCs w:val="24"/>
        </w:rPr>
        <w:t xml:space="preserve"> AU) provide to low income</w:t>
      </w:r>
      <w:r w:rsidR="003F31E4">
        <w:rPr>
          <w:sz w:val="24"/>
          <w:szCs w:val="24"/>
        </w:rPr>
        <w:t xml:space="preserve"> developing countries </w:t>
      </w:r>
      <w:r w:rsidR="00CA042F">
        <w:rPr>
          <w:sz w:val="24"/>
          <w:szCs w:val="24"/>
        </w:rPr>
        <w:t xml:space="preserve">ONCE they have adopted tax reforms and other policy measures to combat tax evasion and avoidance.  Without continuing to ‘stand by’ these countries it will be difficult to expect them to not immediately reverse these reforms </w:t>
      </w:r>
      <w:r w:rsidR="003F31E4">
        <w:rPr>
          <w:sz w:val="24"/>
          <w:szCs w:val="24"/>
        </w:rPr>
        <w:t>in the face of backlash from MNCs (</w:t>
      </w:r>
      <w:r w:rsidR="00CA042F">
        <w:rPr>
          <w:sz w:val="24"/>
          <w:szCs w:val="24"/>
        </w:rPr>
        <w:t>e.g.</w:t>
      </w:r>
      <w:r w:rsidR="003F31E4">
        <w:rPr>
          <w:sz w:val="24"/>
          <w:szCs w:val="24"/>
        </w:rPr>
        <w:t xml:space="preserve"> Zambia and the large copper mining industries</w:t>
      </w:r>
      <w:r w:rsidR="00CA042F">
        <w:rPr>
          <w:sz w:val="24"/>
          <w:szCs w:val="24"/>
        </w:rPr>
        <w:t xml:space="preserve"> over the VAT refunds</w:t>
      </w:r>
      <w:r w:rsidR="003F31E4">
        <w:rPr>
          <w:sz w:val="24"/>
          <w:szCs w:val="24"/>
        </w:rPr>
        <w:t>)</w:t>
      </w:r>
      <w:r w:rsidR="00CA042F">
        <w:rPr>
          <w:sz w:val="24"/>
          <w:szCs w:val="24"/>
        </w:rPr>
        <w:t xml:space="preserve"> </w:t>
      </w:r>
      <w:r w:rsidR="00A67C05">
        <w:rPr>
          <w:sz w:val="24"/>
          <w:szCs w:val="24"/>
        </w:rPr>
        <w:t>and</w:t>
      </w:r>
      <w:r w:rsidR="00CA042F">
        <w:rPr>
          <w:sz w:val="24"/>
          <w:szCs w:val="24"/>
        </w:rPr>
        <w:t xml:space="preserve"> also expect others to follow suit</w:t>
      </w:r>
      <w:r w:rsidR="003F31E4">
        <w:rPr>
          <w:sz w:val="24"/>
          <w:szCs w:val="24"/>
        </w:rPr>
        <w:t xml:space="preserve">.  </w:t>
      </w:r>
      <w:r w:rsidR="00D431D5">
        <w:rPr>
          <w:sz w:val="24"/>
          <w:szCs w:val="24"/>
        </w:rPr>
        <w:t xml:space="preserve"> </w:t>
      </w:r>
    </w:p>
    <w:p w:rsidR="00C8718A" w:rsidRDefault="00C8718A" w:rsidP="009E28EB">
      <w:pPr>
        <w:tabs>
          <w:tab w:val="left" w:pos="3845"/>
        </w:tabs>
        <w:spacing w:after="0" w:line="240" w:lineRule="auto"/>
        <w:jc w:val="both"/>
        <w:rPr>
          <w:b/>
          <w:sz w:val="24"/>
          <w:szCs w:val="24"/>
        </w:rPr>
      </w:pPr>
    </w:p>
    <w:p w:rsidR="00DB0C21" w:rsidRDefault="00DB0C21" w:rsidP="009E28EB">
      <w:pPr>
        <w:tabs>
          <w:tab w:val="left" w:pos="3845"/>
        </w:tabs>
        <w:spacing w:after="0" w:line="240" w:lineRule="auto"/>
        <w:jc w:val="both"/>
        <w:rPr>
          <w:b/>
          <w:sz w:val="24"/>
          <w:szCs w:val="24"/>
        </w:rPr>
      </w:pPr>
    </w:p>
    <w:p w:rsidR="008C78FD" w:rsidRDefault="008C78FD" w:rsidP="009E28EB">
      <w:pPr>
        <w:tabs>
          <w:tab w:val="left" w:pos="3845"/>
        </w:tabs>
        <w:spacing w:after="0" w:line="240" w:lineRule="auto"/>
        <w:jc w:val="both"/>
        <w:rPr>
          <w:b/>
          <w:sz w:val="24"/>
          <w:szCs w:val="24"/>
        </w:rPr>
      </w:pPr>
    </w:p>
    <w:p w:rsidR="00044777" w:rsidRDefault="00C61B16" w:rsidP="009E28EB">
      <w:pPr>
        <w:tabs>
          <w:tab w:val="left" w:pos="3845"/>
        </w:tabs>
        <w:spacing w:after="0" w:line="240" w:lineRule="auto"/>
        <w:jc w:val="both"/>
        <w:rPr>
          <w:b/>
          <w:sz w:val="24"/>
          <w:szCs w:val="24"/>
        </w:rPr>
      </w:pPr>
      <w:r>
        <w:rPr>
          <w:b/>
          <w:sz w:val="24"/>
          <w:szCs w:val="24"/>
        </w:rPr>
        <w:t>Part II. Concept around Mandatory Beneficial Ownership Transparency in the U.S. and Europe</w:t>
      </w:r>
    </w:p>
    <w:p w:rsidR="00044777" w:rsidRDefault="00044777" w:rsidP="009E28EB">
      <w:pPr>
        <w:tabs>
          <w:tab w:val="left" w:pos="3845"/>
        </w:tabs>
        <w:spacing w:after="0" w:line="240" w:lineRule="auto"/>
        <w:jc w:val="both"/>
        <w:rPr>
          <w:b/>
          <w:sz w:val="24"/>
          <w:szCs w:val="24"/>
        </w:rPr>
      </w:pPr>
    </w:p>
    <w:p w:rsidR="00EB0B12" w:rsidRDefault="009E28EB" w:rsidP="009E28EB">
      <w:pPr>
        <w:spacing w:after="0" w:line="240" w:lineRule="auto"/>
        <w:jc w:val="both"/>
        <w:rPr>
          <w:sz w:val="24"/>
          <w:szCs w:val="24"/>
        </w:rPr>
      </w:pPr>
      <w:r>
        <w:rPr>
          <w:sz w:val="24"/>
          <w:szCs w:val="24"/>
        </w:rPr>
        <w:t xml:space="preserve">The </w:t>
      </w:r>
      <w:r w:rsidRPr="009E28EB">
        <w:rPr>
          <w:sz w:val="24"/>
          <w:szCs w:val="24"/>
        </w:rPr>
        <w:t>EU’s 4</w:t>
      </w:r>
      <w:r w:rsidRPr="009E28EB">
        <w:rPr>
          <w:sz w:val="24"/>
          <w:szCs w:val="24"/>
          <w:vertAlign w:val="superscript"/>
        </w:rPr>
        <w:t>th</w:t>
      </w:r>
      <w:r w:rsidRPr="009E28EB">
        <w:rPr>
          <w:sz w:val="24"/>
          <w:szCs w:val="24"/>
        </w:rPr>
        <w:t xml:space="preserve"> Anti-money laundering directive (AMLD) is currently being revised in order to bring it up to date with the February 2012 recommendations (#24 and #25) of the Financial Action Task Force to combat money laundering and terrorist financing.  The AMLD is of central concern to FGP and its grantees due to its provisions for: (a) </w:t>
      </w:r>
      <w:r w:rsidR="00A023D4" w:rsidRPr="009E28EB">
        <w:rPr>
          <w:b/>
          <w:sz w:val="24"/>
          <w:szCs w:val="24"/>
        </w:rPr>
        <w:t>centralized</w:t>
      </w:r>
      <w:r w:rsidRPr="009E28EB">
        <w:rPr>
          <w:b/>
          <w:sz w:val="24"/>
          <w:szCs w:val="24"/>
        </w:rPr>
        <w:t xml:space="preserve"> public registers of beneficial ownership</w:t>
      </w:r>
      <w:r w:rsidRPr="009E28EB">
        <w:rPr>
          <w:sz w:val="24"/>
          <w:szCs w:val="24"/>
        </w:rPr>
        <w:t xml:space="preserve"> of companies; and (b) </w:t>
      </w:r>
      <w:r w:rsidRPr="009E28EB">
        <w:rPr>
          <w:b/>
          <w:sz w:val="24"/>
          <w:szCs w:val="24"/>
        </w:rPr>
        <w:t>inclusion of trusts</w:t>
      </w:r>
      <w:r w:rsidRPr="009E28EB">
        <w:rPr>
          <w:sz w:val="24"/>
          <w:szCs w:val="24"/>
        </w:rPr>
        <w:t xml:space="preserve"> (legal arrangements between at least two parties whereby property is held by one party for the benefit of another), </w:t>
      </w:r>
      <w:r w:rsidRPr="009E28EB">
        <w:rPr>
          <w:b/>
          <w:sz w:val="24"/>
          <w:szCs w:val="24"/>
        </w:rPr>
        <w:t>foundations, mutual and other legal entities</w:t>
      </w:r>
      <w:r w:rsidRPr="009E28EB">
        <w:rPr>
          <w:sz w:val="24"/>
          <w:szCs w:val="24"/>
        </w:rPr>
        <w:t xml:space="preserve"> in the scope of the directive.  </w:t>
      </w:r>
      <w:r w:rsidR="00F66B51">
        <w:rPr>
          <w:sz w:val="24"/>
          <w:szCs w:val="24"/>
        </w:rPr>
        <w:t xml:space="preserve">Similarly, the US </w:t>
      </w:r>
      <w:r w:rsidR="00EB0B12">
        <w:rPr>
          <w:sz w:val="24"/>
          <w:szCs w:val="24"/>
        </w:rPr>
        <w:t>Incorporation Transparency and Law Enforcement Assistance Act would require the creation of registries available to law enforcement agents</w:t>
      </w:r>
      <w:r w:rsidR="00DC16CB">
        <w:rPr>
          <w:sz w:val="24"/>
          <w:szCs w:val="24"/>
        </w:rPr>
        <w:t xml:space="preserve"> (potentially publicly available at the state level)</w:t>
      </w:r>
      <w:r w:rsidR="00EB0B12">
        <w:rPr>
          <w:sz w:val="24"/>
          <w:szCs w:val="24"/>
        </w:rPr>
        <w:t xml:space="preserve"> that would store </w:t>
      </w:r>
      <w:r w:rsidR="00DC16CB">
        <w:rPr>
          <w:sz w:val="24"/>
          <w:szCs w:val="24"/>
        </w:rPr>
        <w:t xml:space="preserve">current </w:t>
      </w:r>
      <w:r w:rsidR="00EB0B12">
        <w:rPr>
          <w:sz w:val="24"/>
          <w:szCs w:val="24"/>
        </w:rPr>
        <w:t>beneficial owners</w:t>
      </w:r>
      <w:r w:rsidR="00DC16CB">
        <w:rPr>
          <w:sz w:val="24"/>
          <w:szCs w:val="24"/>
        </w:rPr>
        <w:t>hip information</w:t>
      </w:r>
      <w:r w:rsidR="00EB0B12">
        <w:rPr>
          <w:sz w:val="24"/>
          <w:szCs w:val="24"/>
        </w:rPr>
        <w:t xml:space="preserve"> for companies</w:t>
      </w:r>
      <w:r w:rsidR="00DC16CB">
        <w:rPr>
          <w:sz w:val="24"/>
          <w:szCs w:val="24"/>
        </w:rPr>
        <w:t xml:space="preserve">. </w:t>
      </w:r>
    </w:p>
    <w:p w:rsidR="00012E2A" w:rsidRDefault="00012E2A" w:rsidP="009E28EB">
      <w:pPr>
        <w:spacing w:after="0" w:line="240" w:lineRule="auto"/>
        <w:jc w:val="both"/>
        <w:rPr>
          <w:sz w:val="24"/>
          <w:szCs w:val="24"/>
        </w:rPr>
      </w:pPr>
    </w:p>
    <w:p w:rsidR="009E28EB" w:rsidRDefault="00062909" w:rsidP="009E28EB">
      <w:pPr>
        <w:spacing w:after="0" w:line="240" w:lineRule="auto"/>
        <w:jc w:val="both"/>
        <w:rPr>
          <w:sz w:val="24"/>
          <w:szCs w:val="24"/>
        </w:rPr>
      </w:pPr>
      <w:r w:rsidRPr="009E28EB">
        <w:rPr>
          <w:sz w:val="24"/>
          <w:szCs w:val="24"/>
        </w:rPr>
        <w:t>To support its goal of achieving a norm of mandatory beneficial ownership transparency in the U.S. and Europe, FGP made a series of strategic</w:t>
      </w:r>
      <w:r w:rsidR="00044777" w:rsidRPr="009E28EB">
        <w:rPr>
          <w:sz w:val="24"/>
          <w:szCs w:val="24"/>
        </w:rPr>
        <w:t xml:space="preserve"> investments</w:t>
      </w:r>
      <w:r w:rsidR="009E28EB">
        <w:rPr>
          <w:sz w:val="24"/>
          <w:szCs w:val="24"/>
        </w:rPr>
        <w:t xml:space="preserve"> in mid-late 2013 </w:t>
      </w:r>
      <w:r w:rsidRPr="009E28EB">
        <w:rPr>
          <w:sz w:val="24"/>
          <w:szCs w:val="24"/>
        </w:rPr>
        <w:t>to help generate political momentum behind these reforms and then advocate for the specific changes we and our grantees</w:t>
      </w:r>
      <w:r w:rsidR="00044777" w:rsidRPr="009E28EB">
        <w:rPr>
          <w:sz w:val="24"/>
          <w:szCs w:val="24"/>
        </w:rPr>
        <w:t xml:space="preserve"> (FACT, FTC, Global Witness, </w:t>
      </w:r>
      <w:r w:rsidR="00A01090" w:rsidRPr="009E28EB">
        <w:rPr>
          <w:sz w:val="24"/>
          <w:szCs w:val="24"/>
        </w:rPr>
        <w:t>and One</w:t>
      </w:r>
      <w:r w:rsidR="00044777" w:rsidRPr="009E28EB">
        <w:rPr>
          <w:sz w:val="24"/>
          <w:szCs w:val="24"/>
        </w:rPr>
        <w:t xml:space="preserve"> Campaign) were seeking.  </w:t>
      </w:r>
    </w:p>
    <w:p w:rsidR="009E28EB" w:rsidRDefault="009E28EB" w:rsidP="009E28EB">
      <w:pPr>
        <w:spacing w:after="0" w:line="240" w:lineRule="auto"/>
        <w:jc w:val="both"/>
        <w:rPr>
          <w:sz w:val="24"/>
          <w:szCs w:val="24"/>
        </w:rPr>
      </w:pPr>
      <w:r>
        <w:rPr>
          <w:sz w:val="24"/>
          <w:szCs w:val="24"/>
        </w:rPr>
        <w:t xml:space="preserve"> </w:t>
      </w:r>
    </w:p>
    <w:p w:rsidR="008309E5" w:rsidRDefault="00252AD5" w:rsidP="009E28EB">
      <w:pPr>
        <w:spacing w:after="0" w:line="240" w:lineRule="auto"/>
        <w:jc w:val="both"/>
        <w:rPr>
          <w:sz w:val="24"/>
          <w:szCs w:val="24"/>
        </w:rPr>
      </w:pPr>
      <w:r w:rsidRPr="009E28EB">
        <w:rPr>
          <w:sz w:val="24"/>
          <w:szCs w:val="24"/>
        </w:rPr>
        <w:t>FGP worked very closely with Global Witness and the ONE Campaign, a</w:t>
      </w:r>
      <w:r>
        <w:rPr>
          <w:sz w:val="24"/>
          <w:szCs w:val="24"/>
        </w:rPr>
        <w:t xml:space="preserve">long with OSF’s Brussels and Washington, DC offices to conduct direct advocacy and feed in research inputs at critical points </w:t>
      </w:r>
      <w:r w:rsidR="00EA6DDF">
        <w:rPr>
          <w:sz w:val="24"/>
          <w:szCs w:val="24"/>
        </w:rPr>
        <w:t xml:space="preserve">of the debate. </w:t>
      </w:r>
      <w:r w:rsidR="00062909">
        <w:rPr>
          <w:sz w:val="24"/>
          <w:szCs w:val="24"/>
        </w:rPr>
        <w:t xml:space="preserve"> </w:t>
      </w:r>
      <w:r w:rsidR="00EA6DDF">
        <w:rPr>
          <w:sz w:val="24"/>
          <w:szCs w:val="24"/>
        </w:rPr>
        <w:t xml:space="preserve">Examples include FGP commissioning a consultant to develop a policy brief responding to frequently raised objections around the costs and consequences of introducing beneficial ownership </w:t>
      </w:r>
      <w:r w:rsidR="00044777">
        <w:rPr>
          <w:sz w:val="24"/>
          <w:szCs w:val="24"/>
        </w:rPr>
        <w:t>transparency</w:t>
      </w:r>
      <w:r w:rsidR="00FE038D">
        <w:rPr>
          <w:sz w:val="24"/>
          <w:szCs w:val="24"/>
        </w:rPr>
        <w:t xml:space="preserve"> that groups including</w:t>
      </w:r>
      <w:r w:rsidR="00EA6DDF">
        <w:rPr>
          <w:sz w:val="24"/>
          <w:szCs w:val="24"/>
        </w:rPr>
        <w:t xml:space="preserve"> Global Witness, ONE and FTC shared with UK politicians and European MPs at critical points in the debates over public registries of beneficial owners to</w:t>
      </w:r>
      <w:r w:rsidR="00FE038D">
        <w:rPr>
          <w:sz w:val="24"/>
          <w:szCs w:val="24"/>
        </w:rPr>
        <w:t xml:space="preserve"> reportedly</w:t>
      </w:r>
      <w:r w:rsidR="00EA6DDF">
        <w:rPr>
          <w:sz w:val="24"/>
          <w:szCs w:val="24"/>
        </w:rPr>
        <w:t xml:space="preserve"> positive effect in 2013</w:t>
      </w:r>
      <w:r w:rsidR="00044777">
        <w:rPr>
          <w:sz w:val="24"/>
          <w:szCs w:val="24"/>
        </w:rPr>
        <w:t xml:space="preserve">.  </w:t>
      </w:r>
      <w:r w:rsidR="00EA6DDF">
        <w:rPr>
          <w:sz w:val="24"/>
          <w:szCs w:val="24"/>
        </w:rPr>
        <w:t xml:space="preserve">FGP’s similar rapid response </w:t>
      </w:r>
      <w:r w:rsidR="00044777">
        <w:rPr>
          <w:sz w:val="24"/>
          <w:szCs w:val="24"/>
        </w:rPr>
        <w:t xml:space="preserve">in </w:t>
      </w:r>
      <w:r w:rsidR="00EA6DDF">
        <w:rPr>
          <w:sz w:val="24"/>
          <w:szCs w:val="24"/>
        </w:rPr>
        <w:t>commissioning of a European legal scholar to prepare a policy brief responding to</w:t>
      </w:r>
      <w:r w:rsidR="00FE038D">
        <w:rPr>
          <w:sz w:val="24"/>
          <w:szCs w:val="24"/>
        </w:rPr>
        <w:t xml:space="preserve"> EU</w:t>
      </w:r>
      <w:r w:rsidR="00EA6DDF">
        <w:rPr>
          <w:sz w:val="24"/>
          <w:szCs w:val="24"/>
        </w:rPr>
        <w:t xml:space="preserve"> MP concerns that beneficial ownership transparency would violate EU privacy </w:t>
      </w:r>
      <w:r w:rsidR="00044777">
        <w:rPr>
          <w:sz w:val="24"/>
          <w:szCs w:val="24"/>
        </w:rPr>
        <w:t xml:space="preserve">(data protection) </w:t>
      </w:r>
      <w:r w:rsidR="00EA6DDF">
        <w:rPr>
          <w:sz w:val="24"/>
          <w:szCs w:val="24"/>
        </w:rPr>
        <w:t xml:space="preserve">laws, </w:t>
      </w:r>
      <w:r w:rsidR="00FE038D">
        <w:rPr>
          <w:sz w:val="24"/>
          <w:szCs w:val="24"/>
        </w:rPr>
        <w:t>again helped</w:t>
      </w:r>
      <w:r w:rsidR="00EA6DDF">
        <w:rPr>
          <w:sz w:val="24"/>
          <w:szCs w:val="24"/>
        </w:rPr>
        <w:t xml:space="preserve"> partners </w:t>
      </w:r>
      <w:r w:rsidR="00FE038D">
        <w:rPr>
          <w:sz w:val="24"/>
          <w:szCs w:val="24"/>
        </w:rPr>
        <w:t>bring</w:t>
      </w:r>
      <w:r w:rsidR="00EA6DDF">
        <w:rPr>
          <w:sz w:val="24"/>
          <w:szCs w:val="24"/>
        </w:rPr>
        <w:t xml:space="preserve"> MPs on board and arm</w:t>
      </w:r>
      <w:r w:rsidR="00FE038D">
        <w:rPr>
          <w:sz w:val="24"/>
          <w:szCs w:val="24"/>
        </w:rPr>
        <w:t>ed them</w:t>
      </w:r>
      <w:r w:rsidR="00EA6DDF">
        <w:rPr>
          <w:sz w:val="24"/>
          <w:szCs w:val="24"/>
        </w:rPr>
        <w:t xml:space="preserve"> with the </w:t>
      </w:r>
      <w:r w:rsidR="00FE038D">
        <w:rPr>
          <w:sz w:val="24"/>
          <w:szCs w:val="24"/>
        </w:rPr>
        <w:t xml:space="preserve">necessary </w:t>
      </w:r>
      <w:r w:rsidR="00EA6DDF">
        <w:rPr>
          <w:sz w:val="24"/>
          <w:szCs w:val="24"/>
        </w:rPr>
        <w:t>arguments required to defend public regis</w:t>
      </w:r>
      <w:r w:rsidR="009E28EB">
        <w:rPr>
          <w:sz w:val="24"/>
          <w:szCs w:val="24"/>
        </w:rPr>
        <w:t xml:space="preserve">tries in discussions around the AMLD in particular.  Further FGP’s </w:t>
      </w:r>
      <w:r w:rsidR="003958C2">
        <w:rPr>
          <w:sz w:val="24"/>
          <w:szCs w:val="24"/>
        </w:rPr>
        <w:t>support for ICIJ</w:t>
      </w:r>
      <w:r w:rsidR="00412E33">
        <w:rPr>
          <w:sz w:val="24"/>
          <w:szCs w:val="24"/>
        </w:rPr>
        <w:t xml:space="preserve"> had a transformative impact on their ability to conduct and launch their offshore tax havens reporting at a critical time, just prior to the UK’s G8 annual meeting, which in turn generated unprecedented political coverage and fall out in more th</w:t>
      </w:r>
      <w:r w:rsidR="002B4A5E">
        <w:rPr>
          <w:sz w:val="24"/>
          <w:szCs w:val="24"/>
        </w:rPr>
        <w:t>an 30 countries</w:t>
      </w:r>
      <w:r w:rsidR="002011EA">
        <w:rPr>
          <w:sz w:val="24"/>
          <w:szCs w:val="24"/>
        </w:rPr>
        <w:t xml:space="preserve">. From France to Luxembourg, Ministers caught </w:t>
      </w:r>
      <w:r w:rsidR="002B4A5E">
        <w:rPr>
          <w:sz w:val="24"/>
          <w:szCs w:val="24"/>
        </w:rPr>
        <w:t xml:space="preserve">red-handed </w:t>
      </w:r>
      <w:r w:rsidR="002011EA">
        <w:rPr>
          <w:sz w:val="24"/>
          <w:szCs w:val="24"/>
        </w:rPr>
        <w:t>with hefty offshore accounts resulted in public outcries and dramatic new commitments to</w:t>
      </w:r>
      <w:r w:rsidR="002B4A5E">
        <w:rPr>
          <w:sz w:val="24"/>
          <w:szCs w:val="24"/>
        </w:rPr>
        <w:t xml:space="preserve"> promoting</w:t>
      </w:r>
      <w:r w:rsidR="002011EA">
        <w:rPr>
          <w:sz w:val="24"/>
          <w:szCs w:val="24"/>
        </w:rPr>
        <w:t xml:space="preserve"> beneficial ownership</w:t>
      </w:r>
      <w:r w:rsidR="002B4A5E">
        <w:rPr>
          <w:sz w:val="24"/>
          <w:szCs w:val="24"/>
        </w:rPr>
        <w:t xml:space="preserve"> transparency and tax information exchange throughout Europe. </w:t>
      </w:r>
      <w:r w:rsidR="00FE038D">
        <w:rPr>
          <w:sz w:val="24"/>
          <w:szCs w:val="24"/>
        </w:rPr>
        <w:t>For example,</w:t>
      </w:r>
      <w:r w:rsidR="002B4A5E">
        <w:rPr>
          <w:sz w:val="24"/>
          <w:szCs w:val="24"/>
        </w:rPr>
        <w:t xml:space="preserve"> </w:t>
      </w:r>
      <w:r w:rsidR="00081F60">
        <w:rPr>
          <w:sz w:val="24"/>
          <w:szCs w:val="24"/>
        </w:rPr>
        <w:t>ICIJ’s reporting was directly credited by European leaders with putting this issue at the center of the European Parliament’s reform agenda in 2014</w:t>
      </w:r>
      <w:r w:rsidR="008309E5">
        <w:rPr>
          <w:sz w:val="24"/>
          <w:szCs w:val="24"/>
        </w:rPr>
        <w:t>.</w:t>
      </w:r>
    </w:p>
    <w:p w:rsidR="00763DC2" w:rsidRDefault="00763DC2" w:rsidP="009E28EB">
      <w:pPr>
        <w:tabs>
          <w:tab w:val="left" w:pos="3845"/>
        </w:tabs>
        <w:spacing w:after="0" w:line="240" w:lineRule="auto"/>
        <w:jc w:val="both"/>
        <w:rPr>
          <w:sz w:val="24"/>
          <w:szCs w:val="24"/>
        </w:rPr>
      </w:pPr>
    </w:p>
    <w:p w:rsidR="00DB0C21" w:rsidRDefault="00A823B4" w:rsidP="009E28EB">
      <w:pPr>
        <w:tabs>
          <w:tab w:val="left" w:pos="3845"/>
        </w:tabs>
        <w:spacing w:after="0" w:line="240" w:lineRule="auto"/>
        <w:jc w:val="both"/>
        <w:rPr>
          <w:sz w:val="24"/>
          <w:szCs w:val="24"/>
        </w:rPr>
      </w:pPr>
      <w:r>
        <w:rPr>
          <w:sz w:val="24"/>
          <w:szCs w:val="24"/>
        </w:rPr>
        <w:t xml:space="preserve">Over the past year, </w:t>
      </w:r>
      <w:r w:rsidR="009E28EB">
        <w:rPr>
          <w:sz w:val="24"/>
          <w:szCs w:val="24"/>
        </w:rPr>
        <w:t xml:space="preserve">FTC, through its EU Advisor </w:t>
      </w:r>
      <w:r w:rsidR="00F66B51">
        <w:rPr>
          <w:sz w:val="24"/>
          <w:szCs w:val="24"/>
        </w:rPr>
        <w:t xml:space="preserve">(Koen Roovers) </w:t>
      </w:r>
      <w:r w:rsidR="009E28EB">
        <w:rPr>
          <w:sz w:val="24"/>
          <w:szCs w:val="24"/>
        </w:rPr>
        <w:t>based in Brussels and with Global Witness</w:t>
      </w:r>
      <w:r w:rsidR="00F66B51">
        <w:rPr>
          <w:sz w:val="24"/>
          <w:szCs w:val="24"/>
        </w:rPr>
        <w:t xml:space="preserve"> (Robert Palmer), has been leading advocacy at the EU level on beneficial ownership transparency, </w:t>
      </w:r>
      <w:r>
        <w:rPr>
          <w:sz w:val="24"/>
          <w:szCs w:val="24"/>
        </w:rPr>
        <w:t xml:space="preserve">as well </w:t>
      </w:r>
      <w:r w:rsidR="00DC16CB">
        <w:rPr>
          <w:sz w:val="24"/>
          <w:szCs w:val="24"/>
        </w:rPr>
        <w:t xml:space="preserve">as </w:t>
      </w:r>
      <w:r w:rsidR="00F66B51">
        <w:rPr>
          <w:sz w:val="24"/>
          <w:szCs w:val="24"/>
        </w:rPr>
        <w:t xml:space="preserve">coordinating and providing capacity support to other organisations working on </w:t>
      </w:r>
      <w:r>
        <w:rPr>
          <w:sz w:val="24"/>
          <w:szCs w:val="24"/>
        </w:rPr>
        <w:t>these issues</w:t>
      </w:r>
      <w:r w:rsidR="00EB0B12">
        <w:rPr>
          <w:sz w:val="24"/>
          <w:szCs w:val="24"/>
        </w:rPr>
        <w:t xml:space="preserve"> </w:t>
      </w:r>
      <w:r w:rsidR="00736C5F">
        <w:rPr>
          <w:sz w:val="24"/>
          <w:szCs w:val="24"/>
        </w:rPr>
        <w:t>such as Transparency International and Christian Aid</w:t>
      </w:r>
      <w:r w:rsidR="00AC009F">
        <w:rPr>
          <w:sz w:val="24"/>
          <w:szCs w:val="24"/>
        </w:rPr>
        <w:t>, and the One Campaign</w:t>
      </w:r>
      <w:r w:rsidR="00736C5F">
        <w:rPr>
          <w:sz w:val="24"/>
          <w:szCs w:val="24"/>
        </w:rPr>
        <w:t xml:space="preserve">.  </w:t>
      </w:r>
      <w:r w:rsidR="00012E2A">
        <w:rPr>
          <w:sz w:val="24"/>
          <w:szCs w:val="24"/>
        </w:rPr>
        <w:t xml:space="preserve">Given their overlapping representation with the FACT Coalition, both GFI and GW have been able to link and bridge their </w:t>
      </w:r>
      <w:r>
        <w:rPr>
          <w:sz w:val="24"/>
          <w:szCs w:val="24"/>
        </w:rPr>
        <w:t xml:space="preserve">collective </w:t>
      </w:r>
      <w:r w:rsidR="00012E2A">
        <w:rPr>
          <w:sz w:val="24"/>
          <w:szCs w:val="24"/>
        </w:rPr>
        <w:t>work on beneficial ownership in the US and Europe</w:t>
      </w:r>
      <w:r>
        <w:rPr>
          <w:sz w:val="24"/>
          <w:szCs w:val="24"/>
        </w:rPr>
        <w:t>.  Global Witnes</w:t>
      </w:r>
      <w:r w:rsidR="00736C5F">
        <w:rPr>
          <w:sz w:val="24"/>
          <w:szCs w:val="24"/>
        </w:rPr>
        <w:t xml:space="preserve">s has particularly been able to publish </w:t>
      </w:r>
      <w:r w:rsidR="00C708A2">
        <w:rPr>
          <w:sz w:val="24"/>
          <w:szCs w:val="24"/>
        </w:rPr>
        <w:t xml:space="preserve">rapid response </w:t>
      </w:r>
      <w:r w:rsidR="00736C5F">
        <w:rPr>
          <w:sz w:val="24"/>
          <w:szCs w:val="24"/>
        </w:rPr>
        <w:t xml:space="preserve">cases of how anonymous shell companies have been used to facilitate corruption </w:t>
      </w:r>
      <w:r>
        <w:rPr>
          <w:sz w:val="24"/>
          <w:szCs w:val="24"/>
        </w:rPr>
        <w:t xml:space="preserve">(e.g. former Ukrainian President, Viktor </w:t>
      </w:r>
      <w:r w:rsidR="00A023D4">
        <w:rPr>
          <w:sz w:val="24"/>
          <w:szCs w:val="24"/>
        </w:rPr>
        <w:t>Yanukovych</w:t>
      </w:r>
      <w:r>
        <w:rPr>
          <w:sz w:val="24"/>
          <w:szCs w:val="24"/>
        </w:rPr>
        <w:t>)</w:t>
      </w:r>
      <w:r w:rsidR="00D02B50">
        <w:rPr>
          <w:sz w:val="24"/>
          <w:szCs w:val="24"/>
        </w:rPr>
        <w:t xml:space="preserve"> </w:t>
      </w:r>
      <w:r w:rsidR="00C708A2">
        <w:rPr>
          <w:sz w:val="24"/>
          <w:szCs w:val="24"/>
        </w:rPr>
        <w:t xml:space="preserve">relevant to current events, as a means </w:t>
      </w:r>
      <w:r w:rsidR="00D02B50">
        <w:rPr>
          <w:sz w:val="24"/>
          <w:szCs w:val="24"/>
        </w:rPr>
        <w:t>to maintain public interest and momentum on these issues</w:t>
      </w:r>
      <w:r w:rsidR="00736C5F">
        <w:rPr>
          <w:sz w:val="24"/>
          <w:szCs w:val="24"/>
        </w:rPr>
        <w:t xml:space="preserve">.  </w:t>
      </w:r>
      <w:r>
        <w:rPr>
          <w:sz w:val="24"/>
          <w:szCs w:val="24"/>
        </w:rPr>
        <w:t xml:space="preserve"> </w:t>
      </w:r>
      <w:r w:rsidR="00983D8A">
        <w:rPr>
          <w:sz w:val="24"/>
          <w:szCs w:val="24"/>
        </w:rPr>
        <w:t>As a result o</w:t>
      </w:r>
      <w:r w:rsidR="00C708A2">
        <w:rPr>
          <w:sz w:val="24"/>
          <w:szCs w:val="24"/>
        </w:rPr>
        <w:t>f their continued advocacy, these groups</w:t>
      </w:r>
      <w:r w:rsidR="00983D8A">
        <w:rPr>
          <w:sz w:val="24"/>
          <w:szCs w:val="24"/>
        </w:rPr>
        <w:t xml:space="preserve"> were successful</w:t>
      </w:r>
      <w:r>
        <w:rPr>
          <w:sz w:val="24"/>
          <w:szCs w:val="24"/>
        </w:rPr>
        <w:t xml:space="preserve">ly </w:t>
      </w:r>
      <w:r w:rsidR="00983D8A">
        <w:rPr>
          <w:sz w:val="24"/>
          <w:szCs w:val="24"/>
        </w:rPr>
        <w:t xml:space="preserve">able to persuade the UK government to adopt </w:t>
      </w:r>
      <w:r w:rsidR="00C708A2">
        <w:rPr>
          <w:sz w:val="24"/>
          <w:szCs w:val="24"/>
        </w:rPr>
        <w:t>a controversial</w:t>
      </w:r>
      <w:r w:rsidR="00983D8A">
        <w:rPr>
          <w:sz w:val="24"/>
          <w:szCs w:val="24"/>
        </w:rPr>
        <w:t xml:space="preserve"> policy position and</w:t>
      </w:r>
      <w:r>
        <w:rPr>
          <w:sz w:val="24"/>
          <w:szCs w:val="24"/>
        </w:rPr>
        <w:t xml:space="preserve"> </w:t>
      </w:r>
      <w:r w:rsidR="00736C5F">
        <w:rPr>
          <w:sz w:val="24"/>
          <w:szCs w:val="24"/>
        </w:rPr>
        <w:t xml:space="preserve">the UK became the first country to commit to </w:t>
      </w:r>
      <w:r w:rsidR="00AC009F">
        <w:rPr>
          <w:sz w:val="24"/>
          <w:szCs w:val="24"/>
        </w:rPr>
        <w:t xml:space="preserve">the creation of public registries containing </w:t>
      </w:r>
      <w:r w:rsidR="00736C5F">
        <w:rPr>
          <w:sz w:val="24"/>
          <w:szCs w:val="24"/>
        </w:rPr>
        <w:t xml:space="preserve">beneficial </w:t>
      </w:r>
      <w:r w:rsidR="00AC009F">
        <w:rPr>
          <w:sz w:val="24"/>
          <w:szCs w:val="24"/>
        </w:rPr>
        <w:t xml:space="preserve">ownership information for </w:t>
      </w:r>
      <w:r w:rsidR="00736C5F">
        <w:rPr>
          <w:sz w:val="24"/>
          <w:szCs w:val="24"/>
        </w:rPr>
        <w:t>companies.</w:t>
      </w:r>
      <w:r w:rsidR="00AC009F">
        <w:rPr>
          <w:sz w:val="24"/>
          <w:szCs w:val="24"/>
        </w:rPr>
        <w:t xml:space="preserve">  </w:t>
      </w:r>
    </w:p>
    <w:p w:rsidR="00DB0C21" w:rsidRDefault="00DB0C21" w:rsidP="009E28EB">
      <w:pPr>
        <w:tabs>
          <w:tab w:val="left" w:pos="3845"/>
        </w:tabs>
        <w:spacing w:after="0" w:line="240" w:lineRule="auto"/>
        <w:jc w:val="both"/>
        <w:rPr>
          <w:sz w:val="24"/>
          <w:szCs w:val="24"/>
        </w:rPr>
      </w:pPr>
    </w:p>
    <w:p w:rsidR="00DB0C21" w:rsidRDefault="00AC009F" w:rsidP="009E28EB">
      <w:pPr>
        <w:tabs>
          <w:tab w:val="left" w:pos="3845"/>
        </w:tabs>
        <w:spacing w:after="0" w:line="240" w:lineRule="auto"/>
        <w:jc w:val="both"/>
        <w:rPr>
          <w:sz w:val="24"/>
          <w:szCs w:val="24"/>
        </w:rPr>
      </w:pPr>
      <w:r>
        <w:rPr>
          <w:sz w:val="24"/>
          <w:szCs w:val="24"/>
        </w:rPr>
        <w:t>Whilst this is a big success for the campaign, if urgent attention is not paid to ensure that other legal vehicles are subject to the same disclosure rules, this will leave an opportunity for nefarious characters to transfer assets to trusts and foundations</w:t>
      </w:r>
      <w:r w:rsidR="00D02B50">
        <w:rPr>
          <w:sz w:val="24"/>
          <w:szCs w:val="24"/>
        </w:rPr>
        <w:t>, rendering the campaign useless</w:t>
      </w:r>
      <w:r>
        <w:rPr>
          <w:sz w:val="24"/>
          <w:szCs w:val="24"/>
        </w:rPr>
        <w:t xml:space="preserve">.  </w:t>
      </w:r>
      <w:r w:rsidR="00B524FA">
        <w:rPr>
          <w:sz w:val="24"/>
          <w:szCs w:val="24"/>
        </w:rPr>
        <w:t xml:space="preserve">FTC, Global Witness and </w:t>
      </w:r>
      <w:r w:rsidR="001C0009">
        <w:rPr>
          <w:sz w:val="24"/>
          <w:szCs w:val="24"/>
        </w:rPr>
        <w:t>ONE have been leading campaigning efforts here</w:t>
      </w:r>
      <w:r w:rsidR="007B70B2">
        <w:rPr>
          <w:sz w:val="24"/>
          <w:szCs w:val="24"/>
        </w:rPr>
        <w:t xml:space="preserve"> to include all relevant legal vehicles in the new anti-money laundering directive,</w:t>
      </w:r>
      <w:r w:rsidR="001C0009">
        <w:rPr>
          <w:sz w:val="24"/>
          <w:szCs w:val="24"/>
        </w:rPr>
        <w:t xml:space="preserve"> along with several groups FGP does not currently fund including TI and Eurodad</w:t>
      </w:r>
      <w:r w:rsidR="007B70B2">
        <w:rPr>
          <w:sz w:val="24"/>
          <w:szCs w:val="24"/>
        </w:rPr>
        <w:t xml:space="preserve">. The results so far have been positive, but the inclusion of trusts and foundations is highly fragile and will go down to the wire, and later be fought out at the country level during transposition and implementation. </w:t>
      </w:r>
      <w:r w:rsidR="001C0009">
        <w:rPr>
          <w:sz w:val="24"/>
          <w:szCs w:val="24"/>
        </w:rPr>
        <w:t xml:space="preserve"> </w:t>
      </w:r>
    </w:p>
    <w:p w:rsidR="007B70B2" w:rsidRDefault="007B70B2" w:rsidP="009E28EB">
      <w:pPr>
        <w:tabs>
          <w:tab w:val="left" w:pos="3845"/>
        </w:tabs>
        <w:spacing w:after="0" w:line="240" w:lineRule="auto"/>
        <w:jc w:val="both"/>
        <w:rPr>
          <w:sz w:val="24"/>
          <w:szCs w:val="24"/>
        </w:rPr>
      </w:pPr>
    </w:p>
    <w:p w:rsidR="00DB0C21" w:rsidRDefault="00AC009F" w:rsidP="009E28EB">
      <w:pPr>
        <w:tabs>
          <w:tab w:val="left" w:pos="3845"/>
        </w:tabs>
        <w:spacing w:after="0" w:line="240" w:lineRule="auto"/>
        <w:jc w:val="both"/>
        <w:rPr>
          <w:sz w:val="24"/>
          <w:szCs w:val="24"/>
        </w:rPr>
      </w:pPr>
      <w:r>
        <w:rPr>
          <w:sz w:val="24"/>
          <w:szCs w:val="24"/>
        </w:rPr>
        <w:t>Though facing much stiffer resistance</w:t>
      </w:r>
      <w:r w:rsidR="007B70B2">
        <w:rPr>
          <w:sz w:val="24"/>
          <w:szCs w:val="24"/>
        </w:rPr>
        <w:t xml:space="preserve"> in the U.S.</w:t>
      </w:r>
      <w:r>
        <w:rPr>
          <w:sz w:val="24"/>
          <w:szCs w:val="24"/>
        </w:rPr>
        <w:t>, FACT (though Global Witness and Americans for Democratic Action) successfully carried out targeted public outreach in Delaware to generate public suppo</w:t>
      </w:r>
      <w:r w:rsidR="0028506A">
        <w:rPr>
          <w:sz w:val="24"/>
          <w:szCs w:val="24"/>
        </w:rPr>
        <w:t xml:space="preserve">rt at the state level for legislative reform at the federal level on beneficial ownership disclosure.  FACT hopes to replicate this success in </w:t>
      </w:r>
      <w:r w:rsidR="00D02B50">
        <w:rPr>
          <w:sz w:val="24"/>
          <w:szCs w:val="24"/>
        </w:rPr>
        <w:t>other</w:t>
      </w:r>
      <w:r w:rsidR="0028506A">
        <w:rPr>
          <w:sz w:val="24"/>
          <w:szCs w:val="24"/>
        </w:rPr>
        <w:t xml:space="preserve"> </w:t>
      </w:r>
      <w:r w:rsidR="00D02B50">
        <w:rPr>
          <w:sz w:val="24"/>
          <w:szCs w:val="24"/>
        </w:rPr>
        <w:t>key</w:t>
      </w:r>
      <w:r w:rsidR="0028506A">
        <w:rPr>
          <w:sz w:val="24"/>
          <w:szCs w:val="24"/>
        </w:rPr>
        <w:t xml:space="preserve"> states in the coming </w:t>
      </w:r>
      <w:r w:rsidR="00D02B50">
        <w:rPr>
          <w:sz w:val="24"/>
          <w:szCs w:val="24"/>
        </w:rPr>
        <w:t>year (e.g. New York and California)</w:t>
      </w:r>
      <w:r w:rsidR="0028506A">
        <w:rPr>
          <w:sz w:val="24"/>
          <w:szCs w:val="24"/>
        </w:rPr>
        <w:t>.  Howeve</w:t>
      </w:r>
      <w:r w:rsidR="001915B9">
        <w:rPr>
          <w:sz w:val="24"/>
          <w:szCs w:val="24"/>
        </w:rPr>
        <w:t xml:space="preserve">r, as the impact of FATCA hits home </w:t>
      </w:r>
      <w:r w:rsidR="0028506A">
        <w:rPr>
          <w:sz w:val="24"/>
          <w:szCs w:val="24"/>
        </w:rPr>
        <w:t>in the coming years</w:t>
      </w:r>
      <w:r w:rsidR="001915B9">
        <w:rPr>
          <w:sz w:val="24"/>
          <w:szCs w:val="24"/>
        </w:rPr>
        <w:t xml:space="preserve"> and its adverse effects become manifest</w:t>
      </w:r>
      <w:r w:rsidR="0028506A">
        <w:rPr>
          <w:sz w:val="24"/>
          <w:szCs w:val="24"/>
        </w:rPr>
        <w:t>, there is a risk that political support for incorporation</w:t>
      </w:r>
      <w:r w:rsidR="007B70B2">
        <w:rPr>
          <w:sz w:val="24"/>
          <w:szCs w:val="24"/>
        </w:rPr>
        <w:t xml:space="preserve"> and broader tax</w:t>
      </w:r>
      <w:r w:rsidR="0028506A">
        <w:rPr>
          <w:sz w:val="24"/>
          <w:szCs w:val="24"/>
        </w:rPr>
        <w:t xml:space="preserve"> transparency </w:t>
      </w:r>
      <w:r w:rsidR="001915B9">
        <w:rPr>
          <w:sz w:val="24"/>
          <w:szCs w:val="24"/>
        </w:rPr>
        <w:t xml:space="preserve">in the U.S. </w:t>
      </w:r>
      <w:r w:rsidR="00D02B50">
        <w:rPr>
          <w:sz w:val="24"/>
          <w:szCs w:val="24"/>
        </w:rPr>
        <w:t xml:space="preserve">will </w:t>
      </w:r>
      <w:r w:rsidR="0028506A">
        <w:rPr>
          <w:sz w:val="24"/>
          <w:szCs w:val="24"/>
        </w:rPr>
        <w:t>dwindle</w:t>
      </w:r>
      <w:r w:rsidR="002A42C9">
        <w:rPr>
          <w:sz w:val="24"/>
          <w:szCs w:val="24"/>
        </w:rPr>
        <w:t xml:space="preserve">. It is not clear how </w:t>
      </w:r>
      <w:r w:rsidR="001915B9">
        <w:rPr>
          <w:sz w:val="24"/>
          <w:szCs w:val="24"/>
        </w:rPr>
        <w:t xml:space="preserve">well </w:t>
      </w:r>
      <w:r w:rsidR="002A42C9">
        <w:rPr>
          <w:sz w:val="24"/>
          <w:szCs w:val="24"/>
        </w:rPr>
        <w:t xml:space="preserve">FACT is positioning itself to respond to this potential risk.  </w:t>
      </w:r>
    </w:p>
    <w:p w:rsidR="00DB0C21" w:rsidRDefault="00DB0C21" w:rsidP="009E28EB">
      <w:pPr>
        <w:tabs>
          <w:tab w:val="left" w:pos="3845"/>
        </w:tabs>
        <w:spacing w:after="0" w:line="240" w:lineRule="auto"/>
        <w:jc w:val="both"/>
        <w:rPr>
          <w:sz w:val="24"/>
          <w:szCs w:val="24"/>
        </w:rPr>
      </w:pPr>
    </w:p>
    <w:p w:rsidR="00DB0C21" w:rsidRDefault="00C708A2" w:rsidP="009E28EB">
      <w:pPr>
        <w:tabs>
          <w:tab w:val="left" w:pos="3845"/>
        </w:tabs>
        <w:spacing w:after="0" w:line="240" w:lineRule="auto"/>
        <w:jc w:val="both"/>
        <w:rPr>
          <w:sz w:val="24"/>
          <w:szCs w:val="24"/>
        </w:rPr>
      </w:pPr>
      <w:r>
        <w:rPr>
          <w:sz w:val="24"/>
          <w:szCs w:val="24"/>
        </w:rPr>
        <w:t xml:space="preserve">More broadly, and as stated earlier, with respect to combatting aggressive tax avoidance, the impact of beneficial ownership disclosure is hugely overstated in the absence of equally combatting tax treaty abuse (e.g. tax treaty concepts of beneficial ownership may differ), transfer pricing abuse in cross-border related party transactions, and closing tax loopholes. </w:t>
      </w:r>
    </w:p>
    <w:p w:rsidR="00DB0C21" w:rsidRDefault="00DB0C21" w:rsidP="009E28EB">
      <w:pPr>
        <w:tabs>
          <w:tab w:val="left" w:pos="3845"/>
        </w:tabs>
        <w:spacing w:after="0" w:line="240" w:lineRule="auto"/>
        <w:jc w:val="both"/>
        <w:rPr>
          <w:sz w:val="24"/>
          <w:szCs w:val="24"/>
        </w:rPr>
      </w:pPr>
    </w:p>
    <w:p w:rsidR="009E28EB" w:rsidRDefault="00C708A2" w:rsidP="009E28EB">
      <w:pPr>
        <w:tabs>
          <w:tab w:val="left" w:pos="3845"/>
        </w:tabs>
        <w:spacing w:after="0" w:line="240" w:lineRule="auto"/>
        <w:jc w:val="both"/>
        <w:rPr>
          <w:sz w:val="24"/>
          <w:szCs w:val="24"/>
        </w:rPr>
      </w:pPr>
      <w:r>
        <w:rPr>
          <w:sz w:val="24"/>
          <w:szCs w:val="24"/>
        </w:rPr>
        <w:t>There are few groups right now in the field that seem to recognize the shortcomings of beneficial ownership and are capable of working on the complimentary suite of tax issues involved in helping stem illicit flows and increase domestic resource mobilization in low income countries. The Tax Justice Network, Action Aid and Third World Network (Africa) are among those</w:t>
      </w:r>
      <w:r w:rsidR="00FE2892">
        <w:rPr>
          <w:sz w:val="24"/>
          <w:szCs w:val="24"/>
        </w:rPr>
        <w:t xml:space="preserve"> that show promise in helping evolve the field here.</w:t>
      </w:r>
    </w:p>
    <w:p w:rsidR="002A42C9" w:rsidRDefault="002A42C9" w:rsidP="009E28EB">
      <w:pPr>
        <w:tabs>
          <w:tab w:val="left" w:pos="3845"/>
        </w:tabs>
        <w:spacing w:after="0" w:line="240" w:lineRule="auto"/>
        <w:jc w:val="both"/>
        <w:rPr>
          <w:sz w:val="24"/>
          <w:szCs w:val="24"/>
        </w:rPr>
      </w:pPr>
    </w:p>
    <w:p w:rsidR="00ED0204" w:rsidRPr="00252AD5" w:rsidRDefault="00ED0204" w:rsidP="009E28EB">
      <w:pPr>
        <w:tabs>
          <w:tab w:val="left" w:pos="3845"/>
        </w:tabs>
        <w:spacing w:after="0" w:line="240" w:lineRule="auto"/>
        <w:jc w:val="both"/>
        <w:rPr>
          <w:sz w:val="24"/>
          <w:szCs w:val="24"/>
        </w:rPr>
      </w:pPr>
    </w:p>
    <w:sectPr w:rsidR="00ED0204" w:rsidRPr="00252AD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863" w:rsidRDefault="00402863" w:rsidP="00E33945">
      <w:pPr>
        <w:spacing w:after="0" w:line="240" w:lineRule="auto"/>
      </w:pPr>
      <w:r>
        <w:separator/>
      </w:r>
    </w:p>
  </w:endnote>
  <w:endnote w:type="continuationSeparator" w:id="0">
    <w:p w:rsidR="00402863" w:rsidRDefault="00402863" w:rsidP="00E33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831439"/>
      <w:docPartObj>
        <w:docPartGallery w:val="Page Numbers (Bottom of Page)"/>
        <w:docPartUnique/>
      </w:docPartObj>
    </w:sdtPr>
    <w:sdtEndPr>
      <w:rPr>
        <w:noProof/>
      </w:rPr>
    </w:sdtEndPr>
    <w:sdtContent>
      <w:p w:rsidR="00EE6B6D" w:rsidRDefault="00EE6B6D">
        <w:pPr>
          <w:pStyle w:val="Footer"/>
          <w:jc w:val="center"/>
        </w:pPr>
        <w:r>
          <w:fldChar w:fldCharType="begin"/>
        </w:r>
        <w:r>
          <w:instrText xml:space="preserve"> PAGE   \* MERGEFORMAT </w:instrText>
        </w:r>
        <w:r>
          <w:fldChar w:fldCharType="separate"/>
        </w:r>
        <w:r w:rsidR="006F719B">
          <w:rPr>
            <w:noProof/>
          </w:rPr>
          <w:t>1</w:t>
        </w:r>
        <w:r>
          <w:rPr>
            <w:noProof/>
          </w:rPr>
          <w:fldChar w:fldCharType="end"/>
        </w:r>
      </w:p>
    </w:sdtContent>
  </w:sdt>
  <w:p w:rsidR="00EE6B6D" w:rsidRDefault="00EE6B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863" w:rsidRDefault="00402863" w:rsidP="00E33945">
      <w:pPr>
        <w:spacing w:after="0" w:line="240" w:lineRule="auto"/>
      </w:pPr>
      <w:r>
        <w:separator/>
      </w:r>
    </w:p>
  </w:footnote>
  <w:footnote w:type="continuationSeparator" w:id="0">
    <w:p w:rsidR="00402863" w:rsidRDefault="00402863" w:rsidP="00E33945">
      <w:pPr>
        <w:spacing w:after="0" w:line="240" w:lineRule="auto"/>
      </w:pPr>
      <w:r>
        <w:continuationSeparator/>
      </w:r>
    </w:p>
  </w:footnote>
  <w:footnote w:id="1">
    <w:p w:rsidR="00EE6B6D" w:rsidRDefault="00EE6B6D">
      <w:pPr>
        <w:pStyle w:val="FootnoteText"/>
      </w:pPr>
      <w:r>
        <w:rPr>
          <w:rStyle w:val="FootnoteReference"/>
        </w:rPr>
        <w:footnoteRef/>
      </w:r>
      <w:r>
        <w:t xml:space="preserve"> The International Monetary Fund, World Bank Group, and the UN Tax Committee are also key providers of technical assistance, </w:t>
      </w:r>
      <w:r w:rsidR="00A00765">
        <w:t>as well as bilateral agencies such as DfID, GIZ, and NORAD.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343"/>
    <w:multiLevelType w:val="hybridMultilevel"/>
    <w:tmpl w:val="859EA30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0D2CEF"/>
    <w:multiLevelType w:val="hybridMultilevel"/>
    <w:tmpl w:val="32926FD8"/>
    <w:lvl w:ilvl="0" w:tplc="D4EE4D34">
      <w:start w:val="4"/>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11EC8"/>
    <w:multiLevelType w:val="hybridMultilevel"/>
    <w:tmpl w:val="03E0DFE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A334A5"/>
    <w:multiLevelType w:val="hybridMultilevel"/>
    <w:tmpl w:val="C2C6D2EC"/>
    <w:lvl w:ilvl="0" w:tplc="2CC8524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F2A73E1"/>
    <w:multiLevelType w:val="hybridMultilevel"/>
    <w:tmpl w:val="7FFE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83DB6"/>
    <w:multiLevelType w:val="hybridMultilevel"/>
    <w:tmpl w:val="4DD6A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4B2CBD"/>
    <w:multiLevelType w:val="hybridMultilevel"/>
    <w:tmpl w:val="396650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AA6F17"/>
    <w:multiLevelType w:val="hybridMultilevel"/>
    <w:tmpl w:val="DFF8BC0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C45D88"/>
    <w:multiLevelType w:val="hybridMultilevel"/>
    <w:tmpl w:val="D77AE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1402D7"/>
    <w:multiLevelType w:val="hybridMultilevel"/>
    <w:tmpl w:val="191E0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7853F5"/>
    <w:multiLevelType w:val="hybridMultilevel"/>
    <w:tmpl w:val="121AC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925603"/>
    <w:multiLevelType w:val="hybridMultilevel"/>
    <w:tmpl w:val="DCA66D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B13132B"/>
    <w:multiLevelType w:val="hybridMultilevel"/>
    <w:tmpl w:val="15525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2"/>
  </w:num>
  <w:num w:numId="4">
    <w:abstractNumId w:val="0"/>
  </w:num>
  <w:num w:numId="5">
    <w:abstractNumId w:val="11"/>
  </w:num>
  <w:num w:numId="6">
    <w:abstractNumId w:val="2"/>
  </w:num>
  <w:num w:numId="7">
    <w:abstractNumId w:val="7"/>
  </w:num>
  <w:num w:numId="8">
    <w:abstractNumId w:val="5"/>
  </w:num>
  <w:num w:numId="9">
    <w:abstractNumId w:val="4"/>
  </w:num>
  <w:num w:numId="10">
    <w:abstractNumId w:val="10"/>
  </w:num>
  <w:num w:numId="11">
    <w:abstractNumId w:val="6"/>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A99"/>
    <w:rsid w:val="0000052B"/>
    <w:rsid w:val="000021F4"/>
    <w:rsid w:val="000047B2"/>
    <w:rsid w:val="00007D8F"/>
    <w:rsid w:val="00012E2A"/>
    <w:rsid w:val="000413E5"/>
    <w:rsid w:val="00044777"/>
    <w:rsid w:val="0004696C"/>
    <w:rsid w:val="00057C4C"/>
    <w:rsid w:val="00062909"/>
    <w:rsid w:val="000649FB"/>
    <w:rsid w:val="000656A9"/>
    <w:rsid w:val="000773AB"/>
    <w:rsid w:val="000818BA"/>
    <w:rsid w:val="00081F60"/>
    <w:rsid w:val="00096747"/>
    <w:rsid w:val="000A1D56"/>
    <w:rsid w:val="000B3933"/>
    <w:rsid w:val="000B5DED"/>
    <w:rsid w:val="000E615C"/>
    <w:rsid w:val="000F1800"/>
    <w:rsid w:val="000F5D02"/>
    <w:rsid w:val="00103765"/>
    <w:rsid w:val="0011482F"/>
    <w:rsid w:val="001212B1"/>
    <w:rsid w:val="001228FC"/>
    <w:rsid w:val="001230F3"/>
    <w:rsid w:val="00131070"/>
    <w:rsid w:val="00134BA8"/>
    <w:rsid w:val="001523A8"/>
    <w:rsid w:val="00173F1D"/>
    <w:rsid w:val="001915B9"/>
    <w:rsid w:val="001927C3"/>
    <w:rsid w:val="001939BB"/>
    <w:rsid w:val="00195DA1"/>
    <w:rsid w:val="001B33A3"/>
    <w:rsid w:val="001C0009"/>
    <w:rsid w:val="001C04D2"/>
    <w:rsid w:val="001D7FF4"/>
    <w:rsid w:val="001E1129"/>
    <w:rsid w:val="001E2629"/>
    <w:rsid w:val="001F24D7"/>
    <w:rsid w:val="001F3AB1"/>
    <w:rsid w:val="001F3DF9"/>
    <w:rsid w:val="001F5A9C"/>
    <w:rsid w:val="002011EA"/>
    <w:rsid w:val="00213FBD"/>
    <w:rsid w:val="0022437B"/>
    <w:rsid w:val="00227929"/>
    <w:rsid w:val="002514D2"/>
    <w:rsid w:val="00251D70"/>
    <w:rsid w:val="00252AD5"/>
    <w:rsid w:val="0026730D"/>
    <w:rsid w:val="00282955"/>
    <w:rsid w:val="0028506A"/>
    <w:rsid w:val="002A2CAB"/>
    <w:rsid w:val="002A42C9"/>
    <w:rsid w:val="002A6B3D"/>
    <w:rsid w:val="002B0FB9"/>
    <w:rsid w:val="002B4A5E"/>
    <w:rsid w:val="002C3251"/>
    <w:rsid w:val="002D445C"/>
    <w:rsid w:val="002D739E"/>
    <w:rsid w:val="002F7464"/>
    <w:rsid w:val="003007EC"/>
    <w:rsid w:val="00300868"/>
    <w:rsid w:val="00313C84"/>
    <w:rsid w:val="00325A92"/>
    <w:rsid w:val="00327F12"/>
    <w:rsid w:val="00346250"/>
    <w:rsid w:val="00360E58"/>
    <w:rsid w:val="003625C3"/>
    <w:rsid w:val="0038145D"/>
    <w:rsid w:val="00383BCA"/>
    <w:rsid w:val="00387086"/>
    <w:rsid w:val="00391EBE"/>
    <w:rsid w:val="003958C2"/>
    <w:rsid w:val="003960EC"/>
    <w:rsid w:val="003A0F0E"/>
    <w:rsid w:val="003A41F1"/>
    <w:rsid w:val="003A48A0"/>
    <w:rsid w:val="003A4B73"/>
    <w:rsid w:val="003B2494"/>
    <w:rsid w:val="003B2CDD"/>
    <w:rsid w:val="003D3F07"/>
    <w:rsid w:val="003D5036"/>
    <w:rsid w:val="003E37F4"/>
    <w:rsid w:val="003F283A"/>
    <w:rsid w:val="003F31E4"/>
    <w:rsid w:val="003F37DF"/>
    <w:rsid w:val="0040143E"/>
    <w:rsid w:val="00402863"/>
    <w:rsid w:val="00405865"/>
    <w:rsid w:val="00412E33"/>
    <w:rsid w:val="00417F28"/>
    <w:rsid w:val="00425D7B"/>
    <w:rsid w:val="00436617"/>
    <w:rsid w:val="0043666F"/>
    <w:rsid w:val="00436DA3"/>
    <w:rsid w:val="004438D5"/>
    <w:rsid w:val="00444A7D"/>
    <w:rsid w:val="004542EF"/>
    <w:rsid w:val="00455DCF"/>
    <w:rsid w:val="004603D5"/>
    <w:rsid w:val="004705D2"/>
    <w:rsid w:val="00493FDE"/>
    <w:rsid w:val="004A5486"/>
    <w:rsid w:val="004C0F1C"/>
    <w:rsid w:val="004C43F7"/>
    <w:rsid w:val="004C6F77"/>
    <w:rsid w:val="004C7840"/>
    <w:rsid w:val="004D6FE3"/>
    <w:rsid w:val="004E1105"/>
    <w:rsid w:val="00500AED"/>
    <w:rsid w:val="005274C9"/>
    <w:rsid w:val="00530CF9"/>
    <w:rsid w:val="00534177"/>
    <w:rsid w:val="00536B6F"/>
    <w:rsid w:val="005430CC"/>
    <w:rsid w:val="00562E78"/>
    <w:rsid w:val="005653A5"/>
    <w:rsid w:val="00566A9D"/>
    <w:rsid w:val="00572FE9"/>
    <w:rsid w:val="0058537D"/>
    <w:rsid w:val="005A3545"/>
    <w:rsid w:val="005B6420"/>
    <w:rsid w:val="005D2D2F"/>
    <w:rsid w:val="005D4AB8"/>
    <w:rsid w:val="005E46CE"/>
    <w:rsid w:val="005F4005"/>
    <w:rsid w:val="00624489"/>
    <w:rsid w:val="00641741"/>
    <w:rsid w:val="00653399"/>
    <w:rsid w:val="006661DF"/>
    <w:rsid w:val="00670297"/>
    <w:rsid w:val="00673287"/>
    <w:rsid w:val="00677721"/>
    <w:rsid w:val="00684194"/>
    <w:rsid w:val="00687088"/>
    <w:rsid w:val="00687B30"/>
    <w:rsid w:val="006966F3"/>
    <w:rsid w:val="006A50ED"/>
    <w:rsid w:val="006A57ED"/>
    <w:rsid w:val="006D0D46"/>
    <w:rsid w:val="006E1836"/>
    <w:rsid w:val="006F719B"/>
    <w:rsid w:val="00702B58"/>
    <w:rsid w:val="00705A54"/>
    <w:rsid w:val="00725AC3"/>
    <w:rsid w:val="007300C5"/>
    <w:rsid w:val="00730A99"/>
    <w:rsid w:val="00736C5F"/>
    <w:rsid w:val="00741968"/>
    <w:rsid w:val="00745FD5"/>
    <w:rsid w:val="0074616F"/>
    <w:rsid w:val="00752A2D"/>
    <w:rsid w:val="007541CE"/>
    <w:rsid w:val="007618BF"/>
    <w:rsid w:val="00763DC2"/>
    <w:rsid w:val="00767EFD"/>
    <w:rsid w:val="00781B8B"/>
    <w:rsid w:val="007949A5"/>
    <w:rsid w:val="007A003A"/>
    <w:rsid w:val="007A2145"/>
    <w:rsid w:val="007A22E4"/>
    <w:rsid w:val="007B70B2"/>
    <w:rsid w:val="007D2C63"/>
    <w:rsid w:val="007D6218"/>
    <w:rsid w:val="007E0A27"/>
    <w:rsid w:val="007E53F3"/>
    <w:rsid w:val="007F16F9"/>
    <w:rsid w:val="007F42B4"/>
    <w:rsid w:val="007F6C27"/>
    <w:rsid w:val="007F7A9B"/>
    <w:rsid w:val="008156E3"/>
    <w:rsid w:val="00815D43"/>
    <w:rsid w:val="008211E5"/>
    <w:rsid w:val="00825676"/>
    <w:rsid w:val="008309E5"/>
    <w:rsid w:val="00831586"/>
    <w:rsid w:val="00862FC1"/>
    <w:rsid w:val="00867AE2"/>
    <w:rsid w:val="008862C4"/>
    <w:rsid w:val="00890789"/>
    <w:rsid w:val="008A33E9"/>
    <w:rsid w:val="008B1E0D"/>
    <w:rsid w:val="008B360B"/>
    <w:rsid w:val="008B4621"/>
    <w:rsid w:val="008B5BF6"/>
    <w:rsid w:val="008C1124"/>
    <w:rsid w:val="008C6A26"/>
    <w:rsid w:val="008C78FD"/>
    <w:rsid w:val="008D1AAB"/>
    <w:rsid w:val="008F3E0D"/>
    <w:rsid w:val="00922062"/>
    <w:rsid w:val="00941D7A"/>
    <w:rsid w:val="0095544D"/>
    <w:rsid w:val="00961E8D"/>
    <w:rsid w:val="0096335A"/>
    <w:rsid w:val="00963F87"/>
    <w:rsid w:val="009726CC"/>
    <w:rsid w:val="0097365C"/>
    <w:rsid w:val="00983D8A"/>
    <w:rsid w:val="00984EE4"/>
    <w:rsid w:val="00990D06"/>
    <w:rsid w:val="00991C4F"/>
    <w:rsid w:val="009962D7"/>
    <w:rsid w:val="009A047D"/>
    <w:rsid w:val="009B15D5"/>
    <w:rsid w:val="009B21CB"/>
    <w:rsid w:val="009C5F0B"/>
    <w:rsid w:val="009D43F0"/>
    <w:rsid w:val="009D56E4"/>
    <w:rsid w:val="009E28EB"/>
    <w:rsid w:val="009F13A8"/>
    <w:rsid w:val="00A00765"/>
    <w:rsid w:val="00A01090"/>
    <w:rsid w:val="00A023D4"/>
    <w:rsid w:val="00A02D1A"/>
    <w:rsid w:val="00A05283"/>
    <w:rsid w:val="00A16CF4"/>
    <w:rsid w:val="00A2005B"/>
    <w:rsid w:val="00A50A75"/>
    <w:rsid w:val="00A50E2A"/>
    <w:rsid w:val="00A667F2"/>
    <w:rsid w:val="00A67C05"/>
    <w:rsid w:val="00A73AE7"/>
    <w:rsid w:val="00A8027E"/>
    <w:rsid w:val="00A823B4"/>
    <w:rsid w:val="00A87D76"/>
    <w:rsid w:val="00A977BB"/>
    <w:rsid w:val="00AA1134"/>
    <w:rsid w:val="00AA4E55"/>
    <w:rsid w:val="00AC009F"/>
    <w:rsid w:val="00AC05CC"/>
    <w:rsid w:val="00AC330E"/>
    <w:rsid w:val="00AC3CFF"/>
    <w:rsid w:val="00AC705B"/>
    <w:rsid w:val="00AD4EE3"/>
    <w:rsid w:val="00AD6811"/>
    <w:rsid w:val="00AE5F5C"/>
    <w:rsid w:val="00B03F87"/>
    <w:rsid w:val="00B04D28"/>
    <w:rsid w:val="00B234BF"/>
    <w:rsid w:val="00B2723D"/>
    <w:rsid w:val="00B31979"/>
    <w:rsid w:val="00B46C15"/>
    <w:rsid w:val="00B524FA"/>
    <w:rsid w:val="00B527E4"/>
    <w:rsid w:val="00B56AC2"/>
    <w:rsid w:val="00B57444"/>
    <w:rsid w:val="00B633B7"/>
    <w:rsid w:val="00B65B86"/>
    <w:rsid w:val="00B748D9"/>
    <w:rsid w:val="00B81F61"/>
    <w:rsid w:val="00B83318"/>
    <w:rsid w:val="00B950B0"/>
    <w:rsid w:val="00B9616F"/>
    <w:rsid w:val="00B974D5"/>
    <w:rsid w:val="00BA4565"/>
    <w:rsid w:val="00BB0CF0"/>
    <w:rsid w:val="00BE127A"/>
    <w:rsid w:val="00BE3087"/>
    <w:rsid w:val="00BF0A1F"/>
    <w:rsid w:val="00BF3743"/>
    <w:rsid w:val="00BF4CAA"/>
    <w:rsid w:val="00C266FD"/>
    <w:rsid w:val="00C317C4"/>
    <w:rsid w:val="00C31AFA"/>
    <w:rsid w:val="00C34A55"/>
    <w:rsid w:val="00C36846"/>
    <w:rsid w:val="00C4224B"/>
    <w:rsid w:val="00C47F5D"/>
    <w:rsid w:val="00C5201C"/>
    <w:rsid w:val="00C61B16"/>
    <w:rsid w:val="00C708A2"/>
    <w:rsid w:val="00C71C1A"/>
    <w:rsid w:val="00C77637"/>
    <w:rsid w:val="00C83487"/>
    <w:rsid w:val="00C8718A"/>
    <w:rsid w:val="00C9347C"/>
    <w:rsid w:val="00CA042F"/>
    <w:rsid w:val="00CB67E2"/>
    <w:rsid w:val="00CC1935"/>
    <w:rsid w:val="00CD213F"/>
    <w:rsid w:val="00CD7BEF"/>
    <w:rsid w:val="00CE320C"/>
    <w:rsid w:val="00CF5EAD"/>
    <w:rsid w:val="00D02B50"/>
    <w:rsid w:val="00D21129"/>
    <w:rsid w:val="00D21E88"/>
    <w:rsid w:val="00D24054"/>
    <w:rsid w:val="00D2674B"/>
    <w:rsid w:val="00D30B34"/>
    <w:rsid w:val="00D35611"/>
    <w:rsid w:val="00D40622"/>
    <w:rsid w:val="00D42E3A"/>
    <w:rsid w:val="00D431D5"/>
    <w:rsid w:val="00D55AB1"/>
    <w:rsid w:val="00D630B8"/>
    <w:rsid w:val="00D72FB6"/>
    <w:rsid w:val="00D85989"/>
    <w:rsid w:val="00D864FB"/>
    <w:rsid w:val="00D90248"/>
    <w:rsid w:val="00D9587A"/>
    <w:rsid w:val="00DB0C21"/>
    <w:rsid w:val="00DC069A"/>
    <w:rsid w:val="00DC16CB"/>
    <w:rsid w:val="00DC3858"/>
    <w:rsid w:val="00DC7C9E"/>
    <w:rsid w:val="00DD2983"/>
    <w:rsid w:val="00DE612F"/>
    <w:rsid w:val="00DF1404"/>
    <w:rsid w:val="00E05B94"/>
    <w:rsid w:val="00E10118"/>
    <w:rsid w:val="00E147B7"/>
    <w:rsid w:val="00E17041"/>
    <w:rsid w:val="00E219C1"/>
    <w:rsid w:val="00E33945"/>
    <w:rsid w:val="00E4186C"/>
    <w:rsid w:val="00E47629"/>
    <w:rsid w:val="00E53920"/>
    <w:rsid w:val="00E56667"/>
    <w:rsid w:val="00E60972"/>
    <w:rsid w:val="00E70744"/>
    <w:rsid w:val="00E73D69"/>
    <w:rsid w:val="00E74179"/>
    <w:rsid w:val="00E828C7"/>
    <w:rsid w:val="00E94C80"/>
    <w:rsid w:val="00EA14EA"/>
    <w:rsid w:val="00EA304D"/>
    <w:rsid w:val="00EA6DDF"/>
    <w:rsid w:val="00EB0B12"/>
    <w:rsid w:val="00ED0204"/>
    <w:rsid w:val="00ED2DFD"/>
    <w:rsid w:val="00EE6B6D"/>
    <w:rsid w:val="00EF093D"/>
    <w:rsid w:val="00EF5AE8"/>
    <w:rsid w:val="00F03F06"/>
    <w:rsid w:val="00F056BF"/>
    <w:rsid w:val="00F13B8F"/>
    <w:rsid w:val="00F16182"/>
    <w:rsid w:val="00F17D9C"/>
    <w:rsid w:val="00F234C5"/>
    <w:rsid w:val="00F24157"/>
    <w:rsid w:val="00F32EA6"/>
    <w:rsid w:val="00F456D8"/>
    <w:rsid w:val="00F534EB"/>
    <w:rsid w:val="00F55665"/>
    <w:rsid w:val="00F5647E"/>
    <w:rsid w:val="00F66B51"/>
    <w:rsid w:val="00F7208C"/>
    <w:rsid w:val="00F82443"/>
    <w:rsid w:val="00F95DCC"/>
    <w:rsid w:val="00FB011D"/>
    <w:rsid w:val="00FC0E55"/>
    <w:rsid w:val="00FC16F6"/>
    <w:rsid w:val="00FD3727"/>
    <w:rsid w:val="00FE038D"/>
    <w:rsid w:val="00FE2892"/>
    <w:rsid w:val="00FE45C9"/>
    <w:rsid w:val="00FE48CB"/>
    <w:rsid w:val="00FF2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A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04D"/>
    <w:pPr>
      <w:ind w:left="720"/>
      <w:contextualSpacing/>
    </w:pPr>
  </w:style>
  <w:style w:type="table" w:styleId="LightList-Accent1">
    <w:name w:val="Light List Accent 1"/>
    <w:basedOn w:val="TableNormal"/>
    <w:uiPriority w:val="61"/>
    <w:rsid w:val="00E1704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E339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945"/>
  </w:style>
  <w:style w:type="paragraph" w:styleId="Footer">
    <w:name w:val="footer"/>
    <w:basedOn w:val="Normal"/>
    <w:link w:val="FooterChar"/>
    <w:uiPriority w:val="99"/>
    <w:unhideWhenUsed/>
    <w:rsid w:val="00E339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945"/>
  </w:style>
  <w:style w:type="paragraph" w:styleId="BalloonText">
    <w:name w:val="Balloon Text"/>
    <w:basedOn w:val="Normal"/>
    <w:link w:val="BalloonTextChar"/>
    <w:uiPriority w:val="99"/>
    <w:semiHidden/>
    <w:unhideWhenUsed/>
    <w:rsid w:val="001523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3A8"/>
    <w:rPr>
      <w:rFonts w:ascii="Tahoma" w:hAnsi="Tahoma" w:cs="Tahoma"/>
      <w:sz w:val="16"/>
      <w:szCs w:val="16"/>
    </w:rPr>
  </w:style>
  <w:style w:type="paragraph" w:styleId="NormalWeb">
    <w:name w:val="Normal (Web)"/>
    <w:basedOn w:val="Normal"/>
    <w:uiPriority w:val="99"/>
    <w:semiHidden/>
    <w:unhideWhenUsed/>
    <w:rsid w:val="00F534E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05A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5A54"/>
    <w:rPr>
      <w:sz w:val="20"/>
      <w:szCs w:val="20"/>
    </w:rPr>
  </w:style>
  <w:style w:type="character" w:styleId="FootnoteReference">
    <w:name w:val="footnote reference"/>
    <w:basedOn w:val="DefaultParagraphFont"/>
    <w:uiPriority w:val="99"/>
    <w:semiHidden/>
    <w:unhideWhenUsed/>
    <w:rsid w:val="00705A54"/>
    <w:rPr>
      <w:vertAlign w:val="superscript"/>
    </w:rPr>
  </w:style>
  <w:style w:type="character" w:styleId="Hyperlink">
    <w:name w:val="Hyperlink"/>
    <w:uiPriority w:val="99"/>
    <w:rsid w:val="00C31AFA"/>
    <w:rPr>
      <w:color w:val="0000FF"/>
      <w:u w:val="single"/>
    </w:rPr>
  </w:style>
  <w:style w:type="character" w:customStyle="1" w:styleId="apple-converted-space">
    <w:name w:val="apple-converted-space"/>
    <w:basedOn w:val="DefaultParagraphFont"/>
    <w:rsid w:val="00F66B51"/>
  </w:style>
  <w:style w:type="character" w:styleId="Strong">
    <w:name w:val="Strong"/>
    <w:basedOn w:val="DefaultParagraphFont"/>
    <w:uiPriority w:val="22"/>
    <w:qFormat/>
    <w:rsid w:val="00F66B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A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04D"/>
    <w:pPr>
      <w:ind w:left="720"/>
      <w:contextualSpacing/>
    </w:pPr>
  </w:style>
  <w:style w:type="table" w:styleId="LightList-Accent1">
    <w:name w:val="Light List Accent 1"/>
    <w:basedOn w:val="TableNormal"/>
    <w:uiPriority w:val="61"/>
    <w:rsid w:val="00E1704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E339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945"/>
  </w:style>
  <w:style w:type="paragraph" w:styleId="Footer">
    <w:name w:val="footer"/>
    <w:basedOn w:val="Normal"/>
    <w:link w:val="FooterChar"/>
    <w:uiPriority w:val="99"/>
    <w:unhideWhenUsed/>
    <w:rsid w:val="00E339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945"/>
  </w:style>
  <w:style w:type="paragraph" w:styleId="BalloonText">
    <w:name w:val="Balloon Text"/>
    <w:basedOn w:val="Normal"/>
    <w:link w:val="BalloonTextChar"/>
    <w:uiPriority w:val="99"/>
    <w:semiHidden/>
    <w:unhideWhenUsed/>
    <w:rsid w:val="001523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3A8"/>
    <w:rPr>
      <w:rFonts w:ascii="Tahoma" w:hAnsi="Tahoma" w:cs="Tahoma"/>
      <w:sz w:val="16"/>
      <w:szCs w:val="16"/>
    </w:rPr>
  </w:style>
  <w:style w:type="paragraph" w:styleId="NormalWeb">
    <w:name w:val="Normal (Web)"/>
    <w:basedOn w:val="Normal"/>
    <w:uiPriority w:val="99"/>
    <w:semiHidden/>
    <w:unhideWhenUsed/>
    <w:rsid w:val="00F534E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05A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5A54"/>
    <w:rPr>
      <w:sz w:val="20"/>
      <w:szCs w:val="20"/>
    </w:rPr>
  </w:style>
  <w:style w:type="character" w:styleId="FootnoteReference">
    <w:name w:val="footnote reference"/>
    <w:basedOn w:val="DefaultParagraphFont"/>
    <w:uiPriority w:val="99"/>
    <w:semiHidden/>
    <w:unhideWhenUsed/>
    <w:rsid w:val="00705A54"/>
    <w:rPr>
      <w:vertAlign w:val="superscript"/>
    </w:rPr>
  </w:style>
  <w:style w:type="character" w:styleId="Hyperlink">
    <w:name w:val="Hyperlink"/>
    <w:uiPriority w:val="99"/>
    <w:rsid w:val="00C31AFA"/>
    <w:rPr>
      <w:color w:val="0000FF"/>
      <w:u w:val="single"/>
    </w:rPr>
  </w:style>
  <w:style w:type="character" w:customStyle="1" w:styleId="apple-converted-space">
    <w:name w:val="apple-converted-space"/>
    <w:basedOn w:val="DefaultParagraphFont"/>
    <w:rsid w:val="00F66B51"/>
  </w:style>
  <w:style w:type="character" w:styleId="Strong">
    <w:name w:val="Strong"/>
    <w:basedOn w:val="DefaultParagraphFont"/>
    <w:uiPriority w:val="22"/>
    <w:qFormat/>
    <w:rsid w:val="00F66B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70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699B7-BCF4-4732-845B-370CF678F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6814</Words>
  <Characters>38840</Characters>
  <Application>Microsoft Office Word</Application>
  <DocSecurity>4</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45563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McCarthy</dc:creator>
  <cp:lastModifiedBy>Daphne Panayotatos</cp:lastModifiedBy>
  <cp:revision>2</cp:revision>
  <cp:lastPrinted>2014-10-20T13:52:00Z</cp:lastPrinted>
  <dcterms:created xsi:type="dcterms:W3CDTF">2014-10-21T17:37:00Z</dcterms:created>
  <dcterms:modified xsi:type="dcterms:W3CDTF">2014-10-21T17:37:00Z</dcterms:modified>
</cp:coreProperties>
</file>