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C7" w:rsidRPr="00B84C5E" w:rsidRDefault="00EC5719" w:rsidP="009E28C7">
      <w:pPr>
        <w:pStyle w:val="NoSpacing"/>
        <w:jc w:val="center"/>
        <w:rPr>
          <w:b/>
          <w:sz w:val="24"/>
          <w:szCs w:val="24"/>
        </w:rPr>
      </w:pPr>
      <w:bookmarkStart w:id="0" w:name="_GoBack"/>
      <w:bookmarkEnd w:id="0"/>
      <w:r w:rsidRPr="00B84C5E">
        <w:rPr>
          <w:b/>
          <w:sz w:val="24"/>
          <w:szCs w:val="24"/>
        </w:rPr>
        <w:t xml:space="preserve">AFRICA </w:t>
      </w:r>
      <w:r w:rsidR="009E28C7" w:rsidRPr="00B84C5E">
        <w:rPr>
          <w:b/>
          <w:sz w:val="24"/>
          <w:szCs w:val="24"/>
        </w:rPr>
        <w:t>R</w:t>
      </w:r>
      <w:r w:rsidRPr="00B84C5E">
        <w:rPr>
          <w:b/>
          <w:sz w:val="24"/>
          <w:szCs w:val="24"/>
        </w:rPr>
        <w:t>EGIONAL</w:t>
      </w:r>
      <w:r w:rsidR="009E28C7" w:rsidRPr="00B84C5E">
        <w:rPr>
          <w:b/>
          <w:sz w:val="24"/>
          <w:szCs w:val="24"/>
        </w:rPr>
        <w:t xml:space="preserve"> O</w:t>
      </w:r>
      <w:r w:rsidRPr="00B84C5E">
        <w:rPr>
          <w:b/>
          <w:sz w:val="24"/>
          <w:szCs w:val="24"/>
        </w:rPr>
        <w:t>FFICE</w:t>
      </w:r>
    </w:p>
    <w:p w:rsidR="00EC5719" w:rsidRPr="00B84C5E" w:rsidRDefault="00EC5719" w:rsidP="009E28C7">
      <w:pPr>
        <w:pStyle w:val="NoSpacing"/>
        <w:jc w:val="center"/>
        <w:rPr>
          <w:b/>
          <w:sz w:val="24"/>
          <w:szCs w:val="24"/>
        </w:rPr>
      </w:pPr>
    </w:p>
    <w:p w:rsidR="00A829E7" w:rsidRPr="00B84C5E" w:rsidRDefault="00A829E7" w:rsidP="008C51D2">
      <w:pPr>
        <w:pStyle w:val="NoSpacing"/>
        <w:jc w:val="center"/>
        <w:rPr>
          <w:b/>
          <w:sz w:val="24"/>
          <w:szCs w:val="24"/>
        </w:rPr>
      </w:pPr>
      <w:r w:rsidRPr="00B84C5E">
        <w:rPr>
          <w:b/>
          <w:sz w:val="24"/>
          <w:szCs w:val="24"/>
        </w:rPr>
        <w:t xml:space="preserve">Citizenship </w:t>
      </w:r>
      <w:r w:rsidR="00F41E46" w:rsidRPr="00B84C5E">
        <w:rPr>
          <w:b/>
          <w:sz w:val="24"/>
          <w:szCs w:val="24"/>
        </w:rPr>
        <w:t xml:space="preserve">Portfolio </w:t>
      </w:r>
      <w:r w:rsidRPr="00B84C5E">
        <w:rPr>
          <w:b/>
          <w:sz w:val="24"/>
          <w:szCs w:val="24"/>
        </w:rPr>
        <w:t>Review</w:t>
      </w:r>
    </w:p>
    <w:p w:rsidR="008C51D2" w:rsidRPr="00B84C5E" w:rsidRDefault="008C51D2" w:rsidP="008C51D2">
      <w:pPr>
        <w:pStyle w:val="NoSpacing"/>
        <w:jc w:val="center"/>
        <w:rPr>
          <w:sz w:val="24"/>
          <w:szCs w:val="24"/>
        </w:rPr>
      </w:pPr>
      <w:r w:rsidRPr="00B84C5E">
        <w:rPr>
          <w:sz w:val="24"/>
          <w:szCs w:val="24"/>
        </w:rPr>
        <w:t>March 26, 2014</w:t>
      </w:r>
    </w:p>
    <w:p w:rsidR="009E28C7" w:rsidRPr="00B84C5E" w:rsidRDefault="009E28C7" w:rsidP="008C51D2">
      <w:pPr>
        <w:pStyle w:val="NoSpacing"/>
        <w:jc w:val="center"/>
        <w:rPr>
          <w:b/>
          <w:sz w:val="24"/>
          <w:szCs w:val="24"/>
        </w:rPr>
      </w:pPr>
    </w:p>
    <w:p w:rsidR="009E28C7" w:rsidRPr="00B84C5E" w:rsidRDefault="009E28C7" w:rsidP="008C51D2">
      <w:pPr>
        <w:pStyle w:val="NoSpacing"/>
        <w:jc w:val="center"/>
        <w:rPr>
          <w:sz w:val="24"/>
          <w:szCs w:val="24"/>
          <w:u w:val="single"/>
        </w:rPr>
      </w:pPr>
      <w:r w:rsidRPr="00B84C5E">
        <w:rPr>
          <w:sz w:val="24"/>
          <w:szCs w:val="24"/>
          <w:u w:val="single"/>
        </w:rPr>
        <w:t xml:space="preserve">Elements </w:t>
      </w:r>
    </w:p>
    <w:p w:rsidR="006F2A4C" w:rsidRPr="00B84C5E" w:rsidRDefault="006F2A4C" w:rsidP="008C51D2">
      <w:pPr>
        <w:pStyle w:val="NoSpacing"/>
        <w:jc w:val="center"/>
        <w:rPr>
          <w:sz w:val="24"/>
          <w:szCs w:val="24"/>
          <w:u w:val="single"/>
        </w:rPr>
      </w:pPr>
    </w:p>
    <w:p w:rsidR="006F2A4C" w:rsidRPr="00B84C5E" w:rsidRDefault="006F2A4C" w:rsidP="006F2A4C">
      <w:pPr>
        <w:autoSpaceDE w:val="0"/>
        <w:autoSpaceDN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B84C5E">
        <w:rPr>
          <w:rFonts w:cs="Times New Roman"/>
          <w:color w:val="000000"/>
          <w:sz w:val="24"/>
          <w:szCs w:val="24"/>
        </w:rPr>
        <w:t xml:space="preserve">Topic: </w:t>
      </w:r>
      <w:r w:rsidRPr="00B84C5E">
        <w:rPr>
          <w:rFonts w:cs="Times New Roman"/>
          <w:color w:val="000000"/>
          <w:sz w:val="24"/>
          <w:szCs w:val="24"/>
        </w:rPr>
        <w:tab/>
        <w:t xml:space="preserve">Citizenship / Right to a nationality (AfRO Concept: to get a protocol on the right to a </w:t>
      </w:r>
    </w:p>
    <w:p w:rsidR="006F2A4C" w:rsidRPr="00B84C5E" w:rsidRDefault="006F2A4C" w:rsidP="006F2A4C">
      <w:pPr>
        <w:autoSpaceDE w:val="0"/>
        <w:autoSpaceDN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B84C5E">
        <w:rPr>
          <w:rFonts w:cs="Times New Roman"/>
          <w:color w:val="000000"/>
          <w:sz w:val="24"/>
          <w:szCs w:val="24"/>
        </w:rPr>
        <w:tab/>
        <w:t>nationality adopted at the African Union)</w:t>
      </w:r>
    </w:p>
    <w:p w:rsidR="006F2A4C" w:rsidRPr="00B84C5E" w:rsidRDefault="006F2A4C" w:rsidP="006F2A4C">
      <w:pPr>
        <w:pStyle w:val="NoSpacing"/>
        <w:rPr>
          <w:sz w:val="24"/>
          <w:szCs w:val="24"/>
          <w:u w:val="single"/>
        </w:rPr>
      </w:pPr>
    </w:p>
    <w:p w:rsidR="006F2A4C" w:rsidRPr="00B84C5E" w:rsidRDefault="006F2A4C" w:rsidP="006F2A4C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B84C5E">
        <w:rPr>
          <w:rFonts w:cs="Tahoma"/>
          <w:color w:val="000000"/>
          <w:sz w:val="24"/>
          <w:szCs w:val="24"/>
        </w:rPr>
        <w:t xml:space="preserve">The portfolio review will explore the following questions: </w:t>
      </w:r>
    </w:p>
    <w:p w:rsidR="006F2A4C" w:rsidRPr="00B84C5E" w:rsidRDefault="006F2A4C" w:rsidP="006F2A4C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B84C5E">
        <w:rPr>
          <w:rFonts w:eastAsia="Times New Roman" w:cs="Tahoma"/>
          <w:color w:val="000000"/>
          <w:sz w:val="24"/>
          <w:szCs w:val="24"/>
        </w:rPr>
        <w:t>Do we have the right design and set of tools to achieve our objective?</w:t>
      </w:r>
    </w:p>
    <w:p w:rsidR="006F2A4C" w:rsidRPr="00B84C5E" w:rsidRDefault="006F2A4C" w:rsidP="006F2A4C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B84C5E">
        <w:rPr>
          <w:rFonts w:eastAsia="Times New Roman" w:cs="Tahoma"/>
          <w:color w:val="000000"/>
          <w:sz w:val="24"/>
          <w:szCs w:val="24"/>
        </w:rPr>
        <w:t>How best do we strengthen capacity and build upon regional/national partner efforts?</w:t>
      </w:r>
    </w:p>
    <w:p w:rsidR="006F2A4C" w:rsidRPr="00B84C5E" w:rsidRDefault="006F2A4C" w:rsidP="006F2A4C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B84C5E">
        <w:rPr>
          <w:rFonts w:eastAsia="Times New Roman" w:cs="Tahoma"/>
          <w:color w:val="000000"/>
          <w:sz w:val="24"/>
          <w:szCs w:val="24"/>
        </w:rPr>
        <w:t xml:space="preserve">Are there ways we can enhance collaboration with our internal partners? </w:t>
      </w:r>
    </w:p>
    <w:p w:rsidR="006F2A4C" w:rsidRPr="00B84C5E" w:rsidRDefault="006F2A4C" w:rsidP="006F2A4C">
      <w:pPr>
        <w:pStyle w:val="NoSpacing"/>
        <w:rPr>
          <w:sz w:val="24"/>
          <w:szCs w:val="24"/>
          <w:u w:val="single"/>
        </w:rPr>
      </w:pPr>
    </w:p>
    <w:p w:rsidR="006F2A4C" w:rsidRPr="00B84C5E" w:rsidRDefault="006F2A4C" w:rsidP="006F2A4C">
      <w:pPr>
        <w:pStyle w:val="NoSpacing"/>
        <w:rPr>
          <w:sz w:val="24"/>
          <w:szCs w:val="24"/>
        </w:rPr>
      </w:pPr>
      <w:r w:rsidRPr="00B84C5E">
        <w:rPr>
          <w:sz w:val="24"/>
          <w:szCs w:val="24"/>
        </w:rPr>
        <w:t>Strands of work:</w:t>
      </w:r>
    </w:p>
    <w:p w:rsidR="006F2A4C" w:rsidRPr="00B84C5E" w:rsidRDefault="006F2A4C" w:rsidP="006F2A4C">
      <w:pPr>
        <w:numPr>
          <w:ilvl w:val="0"/>
          <w:numId w:val="11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B84C5E">
        <w:rPr>
          <w:rFonts w:eastAsia="Times New Roman" w:cs="Tahoma"/>
          <w:color w:val="000000"/>
          <w:sz w:val="24"/>
          <w:szCs w:val="24"/>
        </w:rPr>
        <w:t xml:space="preserve">Direct engagement with the African Union’s independent experts' report enquiring into the desirability of a citizenship protocol called for by the African Commission on Human and People’s Rights resolution </w:t>
      </w:r>
      <w:r w:rsidRPr="00B84C5E">
        <w:rPr>
          <w:sz w:val="24"/>
          <w:szCs w:val="24"/>
        </w:rPr>
        <w:t xml:space="preserve">on the right to nationality in Africa, </w:t>
      </w:r>
      <w:r w:rsidRPr="00B84C5E">
        <w:rPr>
          <w:rFonts w:eastAsia="Times New Roman" w:cs="Tahoma"/>
          <w:color w:val="000000"/>
          <w:sz w:val="24"/>
          <w:szCs w:val="24"/>
        </w:rPr>
        <w:t xml:space="preserve">and influencing its recommendations. </w:t>
      </w:r>
    </w:p>
    <w:p w:rsidR="006F2A4C" w:rsidRPr="00B84C5E" w:rsidRDefault="006F2A4C" w:rsidP="006F2A4C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84C5E">
        <w:rPr>
          <w:rFonts w:eastAsia="Times New Roman" w:cs="Tahoma"/>
          <w:color w:val="000000"/>
          <w:sz w:val="24"/>
          <w:szCs w:val="24"/>
        </w:rPr>
        <w:t>Building a constituency of support among key governments and civil society actors for an African Union citizenship protocol.</w:t>
      </w:r>
    </w:p>
    <w:p w:rsidR="006F2A4C" w:rsidRPr="00B84C5E" w:rsidRDefault="006F2A4C" w:rsidP="003B62EC">
      <w:pPr>
        <w:pStyle w:val="NoSpacing"/>
        <w:rPr>
          <w:b/>
          <w:sz w:val="24"/>
          <w:szCs w:val="24"/>
        </w:rPr>
      </w:pPr>
      <w:r w:rsidRPr="00B84C5E">
        <w:rPr>
          <w:b/>
          <w:sz w:val="24"/>
          <w:szCs w:val="24"/>
        </w:rPr>
        <w:t xml:space="preserve"> </w:t>
      </w:r>
    </w:p>
    <w:p w:rsidR="009E28C7" w:rsidRPr="00E82A4C" w:rsidRDefault="006F2A4C" w:rsidP="003B62EC">
      <w:pPr>
        <w:pStyle w:val="NoSpacing"/>
        <w:rPr>
          <w:b/>
          <w:sz w:val="24"/>
          <w:szCs w:val="24"/>
        </w:rPr>
      </w:pPr>
      <w:r w:rsidRPr="00E82A4C">
        <w:rPr>
          <w:b/>
          <w:sz w:val="24"/>
          <w:szCs w:val="24"/>
        </w:rPr>
        <w:t>Tools</w:t>
      </w:r>
    </w:p>
    <w:p w:rsidR="00B63974" w:rsidRPr="00B84C5E" w:rsidRDefault="00B63974" w:rsidP="003B62EC">
      <w:pPr>
        <w:pStyle w:val="NoSpacing"/>
        <w:rPr>
          <w:sz w:val="24"/>
          <w:szCs w:val="24"/>
        </w:rPr>
      </w:pPr>
    </w:p>
    <w:p w:rsidR="003B62EC" w:rsidRPr="00437FA7" w:rsidRDefault="00A829E7" w:rsidP="003B62EC">
      <w:pPr>
        <w:pStyle w:val="NoSpacing"/>
        <w:rPr>
          <w:b/>
          <w:i/>
          <w:sz w:val="24"/>
          <w:szCs w:val="24"/>
        </w:rPr>
      </w:pPr>
      <w:r w:rsidRPr="00437FA7">
        <w:rPr>
          <w:b/>
          <w:i/>
          <w:sz w:val="24"/>
          <w:szCs w:val="24"/>
        </w:rPr>
        <w:t>Advocacy</w:t>
      </w:r>
    </w:p>
    <w:p w:rsidR="00B735D4" w:rsidRPr="00437FA7" w:rsidRDefault="00B735D4" w:rsidP="003B62EC">
      <w:pPr>
        <w:pStyle w:val="NoSpacing"/>
        <w:rPr>
          <w:sz w:val="24"/>
          <w:szCs w:val="24"/>
        </w:rPr>
      </w:pPr>
      <w:r w:rsidRPr="00437FA7">
        <w:rPr>
          <w:sz w:val="24"/>
          <w:szCs w:val="24"/>
        </w:rPr>
        <w:t>AfR</w:t>
      </w:r>
      <w:r w:rsidR="000F602A" w:rsidRPr="00437FA7">
        <w:rPr>
          <w:sz w:val="24"/>
          <w:szCs w:val="24"/>
        </w:rPr>
        <w:t xml:space="preserve">O (via former </w:t>
      </w:r>
      <w:r w:rsidR="001D21F7" w:rsidRPr="00437FA7">
        <w:rPr>
          <w:sz w:val="24"/>
          <w:szCs w:val="24"/>
        </w:rPr>
        <w:t xml:space="preserve">stand-alone </w:t>
      </w:r>
      <w:r w:rsidR="000F602A" w:rsidRPr="00437FA7">
        <w:rPr>
          <w:sz w:val="24"/>
          <w:szCs w:val="24"/>
        </w:rPr>
        <w:t>units: Africa Governance Monitoring and Advocacy Project and Africa Union advocacy</w:t>
      </w:r>
      <w:r w:rsidR="001D21F7" w:rsidRPr="00437FA7">
        <w:rPr>
          <w:sz w:val="24"/>
          <w:szCs w:val="24"/>
        </w:rPr>
        <w:t xml:space="preserve">) </w:t>
      </w:r>
      <w:r w:rsidRPr="00437FA7">
        <w:rPr>
          <w:sz w:val="24"/>
          <w:szCs w:val="24"/>
        </w:rPr>
        <w:t>has conducted extensive advocacy in its own name including:</w:t>
      </w:r>
    </w:p>
    <w:p w:rsidR="00B735D4" w:rsidRPr="00437FA7" w:rsidRDefault="00B735D4" w:rsidP="003B62EC">
      <w:pPr>
        <w:pStyle w:val="NoSpacing"/>
        <w:rPr>
          <w:sz w:val="24"/>
          <w:szCs w:val="24"/>
        </w:rPr>
      </w:pPr>
    </w:p>
    <w:p w:rsidR="00437FA7" w:rsidRPr="00437FA7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t>Advocacy with the African Commission on Human and Peoples’ Rights (ACHPR) on the human rights violations attached to the absence of a clear right to nationality in many African countries and the necessity to fill the gaps through a Protocol to the African Charter on the right to nationality;</w:t>
      </w:r>
    </w:p>
    <w:p w:rsidR="00437FA7" w:rsidRPr="00F14013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t>Advocacy with</w:t>
      </w:r>
      <w:r w:rsidR="00596591">
        <w:rPr>
          <w:sz w:val="24"/>
          <w:szCs w:val="24"/>
        </w:rPr>
        <w:t xml:space="preserve"> the African Union</w:t>
      </w:r>
      <w:r w:rsidRPr="00437FA7">
        <w:rPr>
          <w:sz w:val="24"/>
          <w:szCs w:val="24"/>
        </w:rPr>
        <w:t xml:space="preserve"> Political Affairs </w:t>
      </w:r>
      <w:r w:rsidR="00596591">
        <w:rPr>
          <w:sz w:val="24"/>
          <w:szCs w:val="24"/>
        </w:rPr>
        <w:t xml:space="preserve">Department </w:t>
      </w:r>
      <w:r w:rsidRPr="00437FA7">
        <w:rPr>
          <w:sz w:val="24"/>
          <w:szCs w:val="24"/>
        </w:rPr>
        <w:t xml:space="preserve">to consider effective right to nationality as part of solution to denationalization and chronic conflicts resulting from it and to collaborate closely with the ACHPR and the </w:t>
      </w:r>
      <w:r w:rsidRPr="00F14013">
        <w:rPr>
          <w:sz w:val="24"/>
          <w:szCs w:val="24"/>
        </w:rPr>
        <w:t>African Committee of Experts on the Rights and Welfare of the Child (ACERWC) on the issue;</w:t>
      </w:r>
    </w:p>
    <w:p w:rsidR="00437FA7" w:rsidRPr="00437FA7" w:rsidRDefault="00F14013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>
        <w:rPr>
          <w:sz w:val="24"/>
          <w:szCs w:val="24"/>
        </w:rPr>
        <w:t xml:space="preserve">Advocacy to ACERWC on </w:t>
      </w:r>
      <w:r w:rsidR="00437FA7" w:rsidRPr="00437FA7">
        <w:rPr>
          <w:sz w:val="24"/>
          <w:szCs w:val="24"/>
        </w:rPr>
        <w:t xml:space="preserve">implementation of </w:t>
      </w:r>
      <w:r>
        <w:rPr>
          <w:sz w:val="24"/>
          <w:szCs w:val="24"/>
        </w:rPr>
        <w:t xml:space="preserve">the </w:t>
      </w:r>
      <w:r w:rsidR="00437FA7" w:rsidRPr="00437FA7">
        <w:rPr>
          <w:sz w:val="24"/>
          <w:szCs w:val="24"/>
        </w:rPr>
        <w:t>decision on Nubian Children rights to nationality and the adoption of a General Comment to interpret the content of Article 6 of AC</w:t>
      </w:r>
      <w:r w:rsidR="00437FA7">
        <w:rPr>
          <w:sz w:val="24"/>
          <w:szCs w:val="24"/>
        </w:rPr>
        <w:t>E</w:t>
      </w:r>
      <w:r w:rsidR="00437FA7" w:rsidRPr="00437FA7">
        <w:rPr>
          <w:sz w:val="24"/>
          <w:szCs w:val="24"/>
        </w:rPr>
        <w:t>RWC on Child birth registration, name and nationality;</w:t>
      </w:r>
    </w:p>
    <w:p w:rsidR="00437FA7" w:rsidRPr="00437FA7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t>Advocacy with specific countr</w:t>
      </w:r>
      <w:r>
        <w:rPr>
          <w:sz w:val="24"/>
          <w:szCs w:val="24"/>
        </w:rPr>
        <w:t>ies</w:t>
      </w:r>
      <w:r w:rsidRPr="00437FA7">
        <w:rPr>
          <w:sz w:val="24"/>
          <w:szCs w:val="24"/>
        </w:rPr>
        <w:t xml:space="preserve"> to adopt positive provision on nationality: Kenya, Tanzania, Zambia, Zimbabwe, Sudan, Senegal, Mauritania</w:t>
      </w:r>
      <w:r w:rsidR="00596591">
        <w:rPr>
          <w:sz w:val="24"/>
          <w:szCs w:val="24"/>
        </w:rPr>
        <w:t>;</w:t>
      </w:r>
    </w:p>
    <w:p w:rsidR="00437FA7" w:rsidRPr="00437FA7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t>Mobilize U</w:t>
      </w:r>
      <w:r>
        <w:rPr>
          <w:sz w:val="24"/>
          <w:szCs w:val="24"/>
        </w:rPr>
        <w:t xml:space="preserve">nited </w:t>
      </w:r>
      <w:r w:rsidRPr="00437FA7">
        <w:rPr>
          <w:sz w:val="24"/>
          <w:szCs w:val="24"/>
        </w:rPr>
        <w:t>N</w:t>
      </w:r>
      <w:r>
        <w:rPr>
          <w:sz w:val="24"/>
          <w:szCs w:val="24"/>
        </w:rPr>
        <w:t xml:space="preserve">ations </w:t>
      </w:r>
      <w:r w:rsidRPr="00437FA7">
        <w:rPr>
          <w:sz w:val="24"/>
          <w:szCs w:val="24"/>
        </w:rPr>
        <w:t>H</w:t>
      </w:r>
      <w:r>
        <w:rPr>
          <w:sz w:val="24"/>
          <w:szCs w:val="24"/>
        </w:rPr>
        <w:t xml:space="preserve">igh </w:t>
      </w:r>
      <w:r w:rsidRPr="00437FA7">
        <w:rPr>
          <w:sz w:val="24"/>
          <w:szCs w:val="24"/>
        </w:rPr>
        <w:t>C</w:t>
      </w:r>
      <w:r>
        <w:rPr>
          <w:sz w:val="24"/>
          <w:szCs w:val="24"/>
        </w:rPr>
        <w:t xml:space="preserve">ommissioner for </w:t>
      </w:r>
      <w:r w:rsidRPr="00437FA7">
        <w:rPr>
          <w:sz w:val="24"/>
          <w:szCs w:val="24"/>
        </w:rPr>
        <w:t>R</w:t>
      </w:r>
      <w:r>
        <w:rPr>
          <w:sz w:val="24"/>
          <w:szCs w:val="24"/>
        </w:rPr>
        <w:t>efugees</w:t>
      </w:r>
      <w:r w:rsidRPr="00437FA7">
        <w:rPr>
          <w:sz w:val="24"/>
          <w:szCs w:val="24"/>
        </w:rPr>
        <w:t xml:space="preserve"> to support the A</w:t>
      </w:r>
      <w:r>
        <w:rPr>
          <w:sz w:val="24"/>
          <w:szCs w:val="24"/>
        </w:rPr>
        <w:t xml:space="preserve">frican </w:t>
      </w:r>
      <w:r w:rsidRPr="00437FA7">
        <w:rPr>
          <w:sz w:val="24"/>
          <w:szCs w:val="24"/>
        </w:rPr>
        <w:t>U</w:t>
      </w:r>
      <w:r>
        <w:rPr>
          <w:sz w:val="24"/>
          <w:szCs w:val="24"/>
        </w:rPr>
        <w:t>nion</w:t>
      </w:r>
      <w:r w:rsidRPr="00437FA7">
        <w:rPr>
          <w:sz w:val="24"/>
          <w:szCs w:val="24"/>
        </w:rPr>
        <w:t xml:space="preserve"> organs and institutions</w:t>
      </w:r>
      <w:r w:rsidR="00596591">
        <w:rPr>
          <w:sz w:val="24"/>
          <w:szCs w:val="24"/>
        </w:rPr>
        <w:t>’</w:t>
      </w:r>
      <w:r w:rsidRPr="00437FA7">
        <w:rPr>
          <w:sz w:val="24"/>
          <w:szCs w:val="24"/>
        </w:rPr>
        <w:t xml:space="preserve"> initiatives on the right to nationality; </w:t>
      </w:r>
    </w:p>
    <w:p w:rsidR="00437FA7" w:rsidRPr="00437FA7" w:rsidRDefault="00596591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>
        <w:rPr>
          <w:sz w:val="24"/>
          <w:szCs w:val="24"/>
        </w:rPr>
        <w:t>Advocacy for g</w:t>
      </w:r>
      <w:r w:rsidR="00437FA7" w:rsidRPr="00437FA7">
        <w:rPr>
          <w:sz w:val="24"/>
          <w:szCs w:val="24"/>
        </w:rPr>
        <w:t>overnments and NGOs to respond to the questionnaire prepared by the ACHPR on the status of right to nationality in Africa;</w:t>
      </w:r>
    </w:p>
    <w:p w:rsidR="00437FA7" w:rsidRPr="00437FA7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lastRenderedPageBreak/>
        <w:t>Mobilizing CSO’s working close to ACERWC to get involved in the drafting and the implementation of the General Comment on Article 6 of the ACRWC and support the initiative of the ACHPR and the A</w:t>
      </w:r>
      <w:r w:rsidR="00596591">
        <w:rPr>
          <w:sz w:val="24"/>
          <w:szCs w:val="24"/>
        </w:rPr>
        <w:t xml:space="preserve">frican </w:t>
      </w:r>
      <w:r w:rsidRPr="00437FA7">
        <w:rPr>
          <w:sz w:val="24"/>
          <w:szCs w:val="24"/>
        </w:rPr>
        <w:t>U</w:t>
      </w:r>
      <w:r w:rsidR="00596591">
        <w:rPr>
          <w:sz w:val="24"/>
          <w:szCs w:val="24"/>
        </w:rPr>
        <w:t xml:space="preserve">nion </w:t>
      </w:r>
      <w:r w:rsidRPr="00437FA7">
        <w:rPr>
          <w:sz w:val="24"/>
          <w:szCs w:val="24"/>
        </w:rPr>
        <w:t>C</w:t>
      </w:r>
      <w:r w:rsidR="00596591">
        <w:rPr>
          <w:sz w:val="24"/>
          <w:szCs w:val="24"/>
        </w:rPr>
        <w:t>ommission</w:t>
      </w:r>
      <w:r w:rsidRPr="00437FA7">
        <w:rPr>
          <w:sz w:val="24"/>
          <w:szCs w:val="24"/>
        </w:rPr>
        <w:t xml:space="preserve"> on the right to nationality; </w:t>
      </w:r>
    </w:p>
    <w:p w:rsidR="00437FA7" w:rsidRPr="00437FA7" w:rsidRDefault="00437FA7" w:rsidP="00437FA7">
      <w:pPr>
        <w:pStyle w:val="ListParagraph"/>
        <w:numPr>
          <w:ilvl w:val="0"/>
          <w:numId w:val="15"/>
        </w:numPr>
        <w:spacing w:before="100"/>
        <w:rPr>
          <w:sz w:val="24"/>
          <w:szCs w:val="24"/>
        </w:rPr>
      </w:pPr>
      <w:r w:rsidRPr="00437FA7">
        <w:rPr>
          <w:sz w:val="24"/>
          <w:szCs w:val="24"/>
        </w:rPr>
        <w:t>Mobilize and convene CSO</w:t>
      </w:r>
      <w:r w:rsidR="00596591">
        <w:rPr>
          <w:sz w:val="24"/>
          <w:szCs w:val="24"/>
        </w:rPr>
        <w:t>s</w:t>
      </w:r>
      <w:r w:rsidRPr="00437FA7">
        <w:rPr>
          <w:sz w:val="24"/>
          <w:szCs w:val="24"/>
        </w:rPr>
        <w:t xml:space="preserve"> to support the initiatives of the ACHPR and the ACERWC on the right to nationality in the continent</w:t>
      </w:r>
      <w:r w:rsidR="00F14013">
        <w:rPr>
          <w:sz w:val="24"/>
          <w:szCs w:val="24"/>
        </w:rPr>
        <w:t>.</w:t>
      </w:r>
    </w:p>
    <w:p w:rsidR="005D4F27" w:rsidRDefault="005D4F27" w:rsidP="003B62EC">
      <w:pPr>
        <w:pStyle w:val="NoSpacing"/>
        <w:rPr>
          <w:sz w:val="24"/>
          <w:szCs w:val="24"/>
        </w:rPr>
      </w:pPr>
    </w:p>
    <w:p w:rsidR="00A829E7" w:rsidRPr="00B84C5E" w:rsidRDefault="00A829E7" w:rsidP="00A829E7">
      <w:pPr>
        <w:spacing w:after="0" w:line="253" w:lineRule="atLeast"/>
        <w:rPr>
          <w:rFonts w:eastAsia="Times New Roman" w:cs="Times New Roman"/>
          <w:b/>
          <w:bCs/>
          <w:i/>
          <w:iCs/>
          <w:sz w:val="24"/>
          <w:szCs w:val="24"/>
          <w:lang w:val="en-US"/>
        </w:rPr>
      </w:pPr>
      <w:r w:rsidRPr="00B84C5E">
        <w:rPr>
          <w:rFonts w:eastAsia="Times New Roman" w:cs="Times New Roman"/>
          <w:b/>
          <w:bCs/>
          <w:i/>
          <w:iCs/>
          <w:sz w:val="24"/>
          <w:szCs w:val="24"/>
          <w:lang w:val="en-US"/>
        </w:rPr>
        <w:t>Research</w:t>
      </w:r>
    </w:p>
    <w:p w:rsidR="004E5478" w:rsidRPr="00B84C5E" w:rsidRDefault="004E5478" w:rsidP="004E5478">
      <w:pPr>
        <w:pStyle w:val="NoSpacing"/>
        <w:rPr>
          <w:color w:val="0000FF" w:themeColor="hyperlink"/>
          <w:sz w:val="24"/>
          <w:szCs w:val="24"/>
          <w:u w:val="single"/>
          <w:lang w:val="en-US"/>
        </w:rPr>
      </w:pPr>
      <w:r w:rsidRPr="00B84C5E">
        <w:rPr>
          <w:i/>
          <w:sz w:val="24"/>
          <w:szCs w:val="24"/>
        </w:rPr>
        <w:t>Citizenship Law in Africa:  A comparative Study - Summary and Recommendations</w:t>
      </w:r>
      <w:r w:rsidRPr="00B84C5E">
        <w:rPr>
          <w:sz w:val="24"/>
          <w:szCs w:val="24"/>
        </w:rPr>
        <w:t xml:space="preserve"> 2010 by Bronwen Manby</w:t>
      </w:r>
      <w:r w:rsidRPr="00B84C5E">
        <w:rPr>
          <w:rStyle w:val="FootnoteReference"/>
          <w:sz w:val="24"/>
          <w:szCs w:val="24"/>
        </w:rPr>
        <w:footnoteReference w:id="1"/>
      </w:r>
      <w:r w:rsidRPr="00B84C5E">
        <w:rPr>
          <w:sz w:val="24"/>
          <w:szCs w:val="24"/>
        </w:rPr>
        <w:t xml:space="preserve"> </w:t>
      </w:r>
      <w:hyperlink r:id="rId9" w:history="1">
        <w:r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http://www.afrimap.org/english/images/report/OSF_Citizenship_Law_in_Africa_Summary.pdf</w:t>
        </w:r>
      </w:hyperlink>
    </w:p>
    <w:p w:rsidR="00E82A4C" w:rsidRDefault="00E82A4C" w:rsidP="004E5478">
      <w:pPr>
        <w:pStyle w:val="NoSpacing"/>
        <w:rPr>
          <w:i/>
          <w:sz w:val="24"/>
          <w:szCs w:val="24"/>
        </w:rPr>
      </w:pPr>
    </w:p>
    <w:p w:rsidR="004E5478" w:rsidRPr="00B84C5E" w:rsidRDefault="004E5478" w:rsidP="004E5478">
      <w:pPr>
        <w:pStyle w:val="NoSpacing"/>
        <w:rPr>
          <w:i/>
          <w:sz w:val="24"/>
          <w:szCs w:val="24"/>
        </w:rPr>
      </w:pPr>
      <w:r w:rsidRPr="00B84C5E">
        <w:rPr>
          <w:i/>
          <w:sz w:val="24"/>
          <w:szCs w:val="24"/>
        </w:rPr>
        <w:t xml:space="preserve">Struggles for Citizenship in Africa 2009 by Bronwen Manby </w:t>
      </w:r>
    </w:p>
    <w:p w:rsidR="004E5478" w:rsidRPr="00B84C5E" w:rsidRDefault="005E00C3" w:rsidP="004E5478">
      <w:pPr>
        <w:pStyle w:val="NoSpacing"/>
        <w:rPr>
          <w:sz w:val="24"/>
          <w:szCs w:val="24"/>
          <w:lang w:val="en-US"/>
        </w:rPr>
      </w:pPr>
      <w:hyperlink r:id="rId10" w:history="1">
        <w:r w:rsidR="004E5478"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http://www.afrimap.org/english/images/report/Struggles-for-Citizenship-Ch1-print.pdf</w:t>
        </w:r>
      </w:hyperlink>
    </w:p>
    <w:p w:rsidR="004E5478" w:rsidRPr="00B84C5E" w:rsidRDefault="004E5478" w:rsidP="004E5478">
      <w:pPr>
        <w:rPr>
          <w:sz w:val="24"/>
          <w:szCs w:val="24"/>
        </w:rPr>
      </w:pPr>
    </w:p>
    <w:p w:rsidR="004E5478" w:rsidRPr="00B84C5E" w:rsidRDefault="004E5478" w:rsidP="004E5478">
      <w:pPr>
        <w:pStyle w:val="NoSpacing"/>
        <w:rPr>
          <w:i/>
          <w:sz w:val="24"/>
          <w:szCs w:val="24"/>
        </w:rPr>
      </w:pPr>
      <w:r w:rsidRPr="00B84C5E">
        <w:rPr>
          <w:i/>
          <w:sz w:val="24"/>
          <w:szCs w:val="24"/>
        </w:rPr>
        <w:t>International Law and the Right to a Nationality in Sudan 2011 by Bronwen Manby</w:t>
      </w:r>
    </w:p>
    <w:p w:rsidR="004E5478" w:rsidRPr="00B84C5E" w:rsidRDefault="005E00C3" w:rsidP="004E5478">
      <w:pPr>
        <w:pStyle w:val="NoSpacing"/>
        <w:rPr>
          <w:color w:val="0000FF" w:themeColor="hyperlink"/>
          <w:sz w:val="24"/>
          <w:szCs w:val="24"/>
          <w:u w:val="single"/>
          <w:lang w:val="en-US"/>
        </w:rPr>
      </w:pPr>
      <w:hyperlink r:id="rId11" w:history="1">
        <w:r w:rsidR="004E5478"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http://www.afrimap.org/english/images/report/OSF_Sudan_nationality.pdf</w:t>
        </w:r>
      </w:hyperlink>
    </w:p>
    <w:p w:rsidR="004E5478" w:rsidRPr="00B84C5E" w:rsidRDefault="004E5478" w:rsidP="004E5478">
      <w:pPr>
        <w:rPr>
          <w:sz w:val="24"/>
          <w:szCs w:val="24"/>
        </w:rPr>
      </w:pPr>
    </w:p>
    <w:p w:rsidR="004E5478" w:rsidRPr="00B84C5E" w:rsidRDefault="004E5478" w:rsidP="004E5478">
      <w:pPr>
        <w:pStyle w:val="NoSpacing"/>
        <w:rPr>
          <w:i/>
          <w:sz w:val="24"/>
          <w:szCs w:val="24"/>
        </w:rPr>
      </w:pPr>
      <w:r w:rsidRPr="00B84C5E">
        <w:rPr>
          <w:i/>
          <w:sz w:val="24"/>
          <w:szCs w:val="24"/>
        </w:rPr>
        <w:t>The Right to a Nationality and the Secession of South Sudan 2012 by Bronwen Manby</w:t>
      </w:r>
    </w:p>
    <w:p w:rsidR="004E5478" w:rsidRPr="00B84C5E" w:rsidRDefault="005E00C3" w:rsidP="004E5478">
      <w:pPr>
        <w:pStyle w:val="NoSpacing"/>
        <w:rPr>
          <w:color w:val="0000FF" w:themeColor="hyperlink"/>
          <w:sz w:val="24"/>
          <w:szCs w:val="24"/>
          <w:u w:val="single"/>
          <w:lang w:val="en-US"/>
        </w:rPr>
      </w:pPr>
      <w:hyperlink r:id="rId12" w:history="1">
        <w:r w:rsidR="004E5478"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http://www.afrimap.org/english/images/report/OSIEA_Sudans_Nationality_April2012_summary.pdf</w:t>
        </w:r>
      </w:hyperlink>
    </w:p>
    <w:p w:rsidR="0075382B" w:rsidRPr="00B84C5E" w:rsidRDefault="0075382B" w:rsidP="004E5478">
      <w:pPr>
        <w:pStyle w:val="NoSpacing"/>
        <w:rPr>
          <w:color w:val="0000FF" w:themeColor="hyperlink"/>
          <w:sz w:val="24"/>
          <w:szCs w:val="24"/>
          <w:u w:val="single"/>
          <w:lang w:val="en-US"/>
        </w:rPr>
      </w:pPr>
    </w:p>
    <w:p w:rsidR="0075382B" w:rsidRPr="00B84C5E" w:rsidRDefault="0075382B" w:rsidP="0075382B">
      <w:pPr>
        <w:pStyle w:val="NoSpacing"/>
        <w:rPr>
          <w:i/>
          <w:sz w:val="24"/>
          <w:szCs w:val="24"/>
        </w:rPr>
      </w:pPr>
      <w:r w:rsidRPr="00B84C5E">
        <w:rPr>
          <w:i/>
          <w:sz w:val="24"/>
          <w:szCs w:val="24"/>
        </w:rPr>
        <w:t xml:space="preserve">Africa Governance Monitoring and Advocacy Project website </w:t>
      </w:r>
    </w:p>
    <w:p w:rsidR="0075382B" w:rsidRPr="00B84C5E" w:rsidRDefault="005E00C3" w:rsidP="0075382B">
      <w:pPr>
        <w:pStyle w:val="NoSpacing"/>
        <w:rPr>
          <w:rStyle w:val="Hyperlink"/>
          <w:sz w:val="24"/>
          <w:szCs w:val="24"/>
        </w:rPr>
      </w:pPr>
      <w:hyperlink r:id="rId13" w:history="1">
        <w:r w:rsidR="0075382B" w:rsidRPr="00B84C5E">
          <w:rPr>
            <w:rStyle w:val="Hyperlink"/>
            <w:sz w:val="24"/>
            <w:szCs w:val="24"/>
          </w:rPr>
          <w:t>http://www.afrimap.org/ReportTheme/Citizenship</w:t>
        </w:r>
      </w:hyperlink>
    </w:p>
    <w:p w:rsidR="003F7477" w:rsidRPr="00B84C5E" w:rsidRDefault="003F7477" w:rsidP="0075382B">
      <w:pPr>
        <w:pStyle w:val="NoSpacing"/>
        <w:rPr>
          <w:rStyle w:val="Hyperlink"/>
          <w:sz w:val="24"/>
          <w:szCs w:val="24"/>
        </w:rPr>
      </w:pPr>
    </w:p>
    <w:p w:rsidR="0004128F" w:rsidRPr="00B84C5E" w:rsidRDefault="0004128F" w:rsidP="00CA2D99">
      <w:pPr>
        <w:pStyle w:val="NoSpacing"/>
        <w:rPr>
          <w:i/>
          <w:sz w:val="24"/>
          <w:szCs w:val="24"/>
        </w:rPr>
      </w:pPr>
    </w:p>
    <w:p w:rsidR="00A829E7" w:rsidRPr="00B84C5E" w:rsidRDefault="00A829E7" w:rsidP="003B62EC">
      <w:pPr>
        <w:spacing w:after="0" w:line="253" w:lineRule="atLeast"/>
        <w:rPr>
          <w:rFonts w:eastAsia="Times New Roman" w:cs="Times New Roman"/>
          <w:b/>
          <w:i/>
          <w:sz w:val="24"/>
          <w:szCs w:val="24"/>
          <w:lang w:val="en-US"/>
        </w:rPr>
      </w:pPr>
      <w:r w:rsidRPr="00B84C5E">
        <w:rPr>
          <w:rFonts w:eastAsia="Times New Roman" w:cs="Times New Roman"/>
          <w:b/>
          <w:i/>
          <w:sz w:val="24"/>
          <w:szCs w:val="24"/>
          <w:lang w:val="en-US"/>
        </w:rPr>
        <w:t>Grant</w:t>
      </w:r>
      <w:r w:rsidR="00F41E46" w:rsidRPr="00B84C5E">
        <w:rPr>
          <w:rFonts w:eastAsia="Times New Roman" w:cs="Times New Roman"/>
          <w:b/>
          <w:i/>
          <w:sz w:val="24"/>
          <w:szCs w:val="24"/>
          <w:lang w:val="en-US"/>
        </w:rPr>
        <w:t>-</w:t>
      </w:r>
      <w:r w:rsidRPr="00B84C5E">
        <w:rPr>
          <w:rFonts w:eastAsia="Times New Roman" w:cs="Times New Roman"/>
          <w:b/>
          <w:i/>
          <w:sz w:val="24"/>
          <w:szCs w:val="24"/>
          <w:lang w:val="en-US"/>
        </w:rPr>
        <w:t>making</w:t>
      </w:r>
    </w:p>
    <w:p w:rsidR="000F602A" w:rsidRDefault="004B6219" w:rsidP="00546C7B">
      <w:pPr>
        <w:pStyle w:val="NoSpacing"/>
        <w:rPr>
          <w:sz w:val="24"/>
          <w:szCs w:val="24"/>
          <w:lang w:val="en-US"/>
        </w:rPr>
      </w:pPr>
      <w:r w:rsidRPr="00546C7B">
        <w:rPr>
          <w:sz w:val="24"/>
          <w:szCs w:val="24"/>
        </w:rPr>
        <w:t>Grant #</w:t>
      </w:r>
      <w:r w:rsidRPr="00546C7B">
        <w:rPr>
          <w:sz w:val="24"/>
          <w:szCs w:val="24"/>
          <w:lang w:val="en-US"/>
        </w:rPr>
        <w:t xml:space="preserve"> OR2010-31051 </w:t>
      </w:r>
    </w:p>
    <w:p w:rsidR="00F14013" w:rsidRDefault="00F14013" w:rsidP="00546C7B">
      <w:pPr>
        <w:pStyle w:val="NoSpacing"/>
        <w:rPr>
          <w:sz w:val="24"/>
          <w:szCs w:val="24"/>
          <w:lang w:val="en-US"/>
        </w:rPr>
      </w:pPr>
      <w:r w:rsidRPr="00546C7B">
        <w:rPr>
          <w:sz w:val="24"/>
          <w:szCs w:val="24"/>
          <w:lang w:val="en-US"/>
        </w:rPr>
        <w:t>International Refugee Rights Initiative</w:t>
      </w:r>
    </w:p>
    <w:p w:rsidR="00546C7B" w:rsidRPr="00546C7B" w:rsidRDefault="00546C7B" w:rsidP="00546C7B">
      <w:pPr>
        <w:pStyle w:val="NoSpacing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$192,552 </w:t>
      </w:r>
      <w:r w:rsidR="00F14013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>1/1/11 – 12/31/11</w:t>
      </w:r>
    </w:p>
    <w:p w:rsidR="004B6219" w:rsidRPr="00F14013" w:rsidRDefault="00F14013" w:rsidP="00546C7B">
      <w:pPr>
        <w:pStyle w:val="NoSpacing"/>
        <w:rPr>
          <w:rStyle w:val="Hyperlink"/>
          <w:sz w:val="24"/>
          <w:szCs w:val="24"/>
        </w:rPr>
      </w:pPr>
      <w:r>
        <w:rPr>
          <w:sz w:val="24"/>
          <w:szCs w:val="24"/>
          <w:lang w:val="en-US"/>
        </w:rPr>
        <w:t xml:space="preserve">To support </w:t>
      </w:r>
      <w:r w:rsidR="00546C7B" w:rsidRPr="00546C7B">
        <w:rPr>
          <w:sz w:val="24"/>
          <w:szCs w:val="24"/>
          <w:lang w:val="en-US"/>
        </w:rPr>
        <w:t xml:space="preserve">research on social membership and citizenship conflicts </w:t>
      </w:r>
      <w:r>
        <w:rPr>
          <w:sz w:val="24"/>
          <w:szCs w:val="24"/>
          <w:lang w:val="en-US"/>
        </w:rPr>
        <w:t>and</w:t>
      </w:r>
      <w:r w:rsidR="00546C7B" w:rsidRPr="00546C7B">
        <w:rPr>
          <w:sz w:val="24"/>
          <w:szCs w:val="24"/>
          <w:lang w:val="en-US"/>
        </w:rPr>
        <w:t xml:space="preserve"> redesign of Citizen Rights in Africa website</w:t>
      </w:r>
      <w:r w:rsidR="00546C7B" w:rsidRPr="00F14013">
        <w:rPr>
          <w:sz w:val="24"/>
          <w:szCs w:val="24"/>
          <w:lang w:val="en-US"/>
        </w:rPr>
        <w:t xml:space="preserve">. </w:t>
      </w:r>
      <w:r w:rsidR="004B6219" w:rsidRPr="00F14013">
        <w:rPr>
          <w:sz w:val="24"/>
          <w:szCs w:val="24"/>
          <w:lang w:val="en-US"/>
        </w:rPr>
        <w:t xml:space="preserve">  </w:t>
      </w:r>
      <w:r w:rsidR="004B6219" w:rsidRPr="00F14013">
        <w:rPr>
          <w:sz w:val="24"/>
          <w:szCs w:val="24"/>
        </w:rPr>
        <w:t xml:space="preserve">It can be previewed at: </w:t>
      </w:r>
      <w:hyperlink r:id="rId14" w:history="1">
        <w:r w:rsidR="004B6219" w:rsidRPr="00F14013">
          <w:rPr>
            <w:rStyle w:val="Hyperlink"/>
            <w:sz w:val="24"/>
            <w:szCs w:val="24"/>
          </w:rPr>
          <w:t>http://citizenshiprightsinafrica.org/category/crai-publications/</w:t>
        </w:r>
      </w:hyperlink>
    </w:p>
    <w:p w:rsidR="000F602A" w:rsidRDefault="000F602A" w:rsidP="00B63974">
      <w:pPr>
        <w:rPr>
          <w:rFonts w:eastAsia="Times New Roman" w:cs="Arial"/>
          <w:color w:val="000000"/>
          <w:sz w:val="24"/>
          <w:szCs w:val="24"/>
          <w:lang w:val="en-US"/>
        </w:rPr>
      </w:pPr>
    </w:p>
    <w:p w:rsidR="000F602A" w:rsidRDefault="00B63974" w:rsidP="000F602A">
      <w:pPr>
        <w:pStyle w:val="NoSpacing"/>
        <w:rPr>
          <w:sz w:val="24"/>
          <w:szCs w:val="24"/>
          <w:lang w:val="en-US"/>
        </w:rPr>
      </w:pPr>
      <w:r w:rsidRPr="000F602A">
        <w:rPr>
          <w:sz w:val="24"/>
          <w:szCs w:val="24"/>
          <w:lang w:val="en-US"/>
        </w:rPr>
        <w:t xml:space="preserve">Grant # OR2009-25632 </w:t>
      </w:r>
    </w:p>
    <w:p w:rsidR="00F14013" w:rsidRPr="000F602A" w:rsidRDefault="00F14013" w:rsidP="000F602A">
      <w:pPr>
        <w:pStyle w:val="NoSpacing"/>
        <w:rPr>
          <w:sz w:val="24"/>
          <w:szCs w:val="24"/>
          <w:lang w:val="en-US"/>
        </w:rPr>
      </w:pPr>
      <w:r w:rsidRPr="00B84C5E">
        <w:rPr>
          <w:rFonts w:eastAsia="Times New Roman" w:cs="Arial"/>
          <w:color w:val="000000"/>
          <w:sz w:val="24"/>
          <w:szCs w:val="24"/>
          <w:lang w:val="en-US"/>
        </w:rPr>
        <w:t>International Refugee Rights Initiative</w:t>
      </w:r>
    </w:p>
    <w:p w:rsidR="000F602A" w:rsidRPr="000F602A" w:rsidRDefault="000F602A" w:rsidP="000F602A">
      <w:pPr>
        <w:pStyle w:val="NoSpacing"/>
        <w:rPr>
          <w:sz w:val="24"/>
          <w:szCs w:val="24"/>
          <w:lang w:val="en-US"/>
        </w:rPr>
      </w:pPr>
      <w:r w:rsidRPr="000F602A">
        <w:rPr>
          <w:sz w:val="24"/>
          <w:szCs w:val="24"/>
          <w:lang w:val="en-US"/>
        </w:rPr>
        <w:t>$100,000</w:t>
      </w:r>
      <w:r>
        <w:rPr>
          <w:sz w:val="24"/>
          <w:szCs w:val="24"/>
          <w:lang w:val="en-US"/>
        </w:rPr>
        <w:t xml:space="preserve"> </w:t>
      </w:r>
      <w:r w:rsidR="00F14013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>4/1/09 – 4/1/10</w:t>
      </w:r>
    </w:p>
    <w:p w:rsidR="00B63974" w:rsidRPr="00B84C5E" w:rsidRDefault="00F14013" w:rsidP="00B63974">
      <w:pPr>
        <w:rPr>
          <w:rFonts w:eastAsia="Times New Roman" w:cs="Arial"/>
          <w:color w:val="000000"/>
          <w:sz w:val="24"/>
          <w:szCs w:val="24"/>
          <w:lang w:val="en-US"/>
        </w:rPr>
      </w:pPr>
      <w:r>
        <w:rPr>
          <w:rFonts w:eastAsia="Times New Roman" w:cs="Arial"/>
          <w:color w:val="000000"/>
          <w:sz w:val="24"/>
          <w:szCs w:val="24"/>
          <w:lang w:val="en-US"/>
        </w:rPr>
        <w:t>T</w:t>
      </w:r>
      <w:r w:rsidR="00B63974" w:rsidRPr="00B84C5E">
        <w:rPr>
          <w:rFonts w:eastAsia="Times New Roman" w:cs="Arial"/>
          <w:color w:val="000000"/>
          <w:sz w:val="24"/>
          <w:szCs w:val="24"/>
          <w:lang w:val="en-US"/>
        </w:rPr>
        <w:t>o support policy-relevant research and advocacy on issues o</w:t>
      </w:r>
      <w:r>
        <w:rPr>
          <w:rFonts w:eastAsia="Times New Roman" w:cs="Arial"/>
          <w:color w:val="000000"/>
          <w:sz w:val="24"/>
          <w:szCs w:val="24"/>
          <w:lang w:val="en-US"/>
        </w:rPr>
        <w:t>f</w:t>
      </w:r>
      <w:r w:rsidR="00B63974" w:rsidRPr="00B84C5E">
        <w:rPr>
          <w:rFonts w:eastAsia="Times New Roman" w:cs="Arial"/>
          <w:color w:val="000000"/>
          <w:sz w:val="24"/>
          <w:szCs w:val="24"/>
          <w:lang w:val="en-US"/>
        </w:rPr>
        <w:t xml:space="preserve"> citizenship and displacement in the Great Lakes region</w:t>
      </w:r>
    </w:p>
    <w:p w:rsidR="00E82A4C" w:rsidRDefault="00E82A4C" w:rsidP="00A829E7">
      <w:pPr>
        <w:rPr>
          <w:b/>
          <w:i/>
          <w:sz w:val="24"/>
          <w:szCs w:val="24"/>
        </w:rPr>
      </w:pPr>
    </w:p>
    <w:p w:rsidR="00E82A4C" w:rsidRDefault="00E82A4C" w:rsidP="00A829E7">
      <w:pPr>
        <w:rPr>
          <w:b/>
          <w:i/>
          <w:sz w:val="24"/>
          <w:szCs w:val="24"/>
        </w:rPr>
      </w:pPr>
    </w:p>
    <w:p w:rsidR="00E82A4C" w:rsidRDefault="00E82A4C" w:rsidP="00A829E7">
      <w:pPr>
        <w:rPr>
          <w:b/>
          <w:i/>
          <w:sz w:val="24"/>
          <w:szCs w:val="24"/>
        </w:rPr>
      </w:pPr>
    </w:p>
    <w:p w:rsidR="0081290D" w:rsidRDefault="00774BAE" w:rsidP="00A829E7">
      <w:pPr>
        <w:rPr>
          <w:b/>
          <w:i/>
          <w:sz w:val="24"/>
          <w:szCs w:val="24"/>
        </w:rPr>
      </w:pPr>
      <w:r w:rsidRPr="00B84C5E">
        <w:rPr>
          <w:b/>
          <w:i/>
          <w:sz w:val="24"/>
          <w:szCs w:val="24"/>
        </w:rPr>
        <w:t xml:space="preserve">Technical support </w:t>
      </w:r>
    </w:p>
    <w:p w:rsidR="000F602A" w:rsidRPr="00B84C5E" w:rsidRDefault="000F602A" w:rsidP="00A829E7">
      <w:pPr>
        <w:rPr>
          <w:b/>
          <w:i/>
          <w:sz w:val="24"/>
          <w:szCs w:val="24"/>
        </w:rPr>
      </w:pPr>
      <w:r w:rsidRPr="002154DA">
        <w:rPr>
          <w:rFonts w:cs="Arial"/>
          <w:bCs/>
          <w:i/>
          <w:sz w:val="24"/>
          <w:szCs w:val="24"/>
        </w:rPr>
        <w:t>Strengthening Popular Participation in the African Union: A Guide to AU Structures and Processes</w:t>
      </w:r>
      <w:r w:rsidRPr="002154DA">
        <w:rPr>
          <w:i/>
          <w:sz w:val="24"/>
          <w:szCs w:val="24"/>
        </w:rPr>
        <w:br/>
      </w:r>
      <w:hyperlink r:id="rId15" w:history="1">
        <w:r w:rsidRPr="002154DA">
          <w:rPr>
            <w:rStyle w:val="Hyperlink"/>
            <w:sz w:val="24"/>
            <w:szCs w:val="24"/>
          </w:rPr>
          <w:t>http://www.afrimap.org/english/images/report/AfriMAP-AU-Guide-EN.pdf</w:t>
        </w:r>
      </w:hyperlink>
    </w:p>
    <w:p w:rsidR="00774BAE" w:rsidRPr="00B84C5E" w:rsidRDefault="00774BAE" w:rsidP="00774BA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84C5E">
        <w:rPr>
          <w:sz w:val="24"/>
          <w:szCs w:val="24"/>
        </w:rPr>
        <w:t xml:space="preserve">Technical </w:t>
      </w:r>
      <w:r w:rsidR="005D1668" w:rsidRPr="00B84C5E">
        <w:rPr>
          <w:sz w:val="24"/>
          <w:szCs w:val="24"/>
        </w:rPr>
        <w:t xml:space="preserve">Support </w:t>
      </w:r>
      <w:r w:rsidRPr="00B84C5E">
        <w:rPr>
          <w:sz w:val="24"/>
          <w:szCs w:val="24"/>
        </w:rPr>
        <w:t>to African human rights bodies</w:t>
      </w:r>
    </w:p>
    <w:p w:rsidR="00774BAE" w:rsidRPr="00B84C5E" w:rsidRDefault="00596591" w:rsidP="00774BA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774BAE" w:rsidRPr="00B84C5E">
        <w:rPr>
          <w:sz w:val="24"/>
          <w:szCs w:val="24"/>
        </w:rPr>
        <w:t>frican commission on Human and Peoples’ Rights</w:t>
      </w:r>
      <w:r w:rsidR="000A5ABE" w:rsidRPr="00B84C5E">
        <w:rPr>
          <w:sz w:val="24"/>
          <w:szCs w:val="24"/>
        </w:rPr>
        <w:t xml:space="preserve"> (ACHPR)</w:t>
      </w:r>
      <w:r w:rsidR="00774BAE" w:rsidRPr="00B84C5E">
        <w:rPr>
          <w:sz w:val="24"/>
          <w:szCs w:val="24"/>
        </w:rPr>
        <w:t>:</w:t>
      </w:r>
    </w:p>
    <w:p w:rsidR="000F602A" w:rsidRPr="000F602A" w:rsidRDefault="000F602A" w:rsidP="000F602A">
      <w:pPr>
        <w:pStyle w:val="ListParagraph"/>
        <w:tabs>
          <w:tab w:val="left" w:pos="1080"/>
          <w:tab w:val="left" w:pos="1440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="00596591">
        <w:rPr>
          <w:sz w:val="24"/>
          <w:szCs w:val="24"/>
        </w:rPr>
        <w:t>b.  The</w:t>
      </w:r>
      <w:r w:rsidR="00774BAE" w:rsidRPr="000F602A">
        <w:rPr>
          <w:sz w:val="24"/>
          <w:szCs w:val="24"/>
        </w:rPr>
        <w:t xml:space="preserve"> </w:t>
      </w:r>
      <w:r w:rsidR="0066295E" w:rsidRPr="000F602A">
        <w:rPr>
          <w:sz w:val="24"/>
          <w:szCs w:val="24"/>
        </w:rPr>
        <w:t xml:space="preserve">African </w:t>
      </w:r>
      <w:r w:rsidR="00774BAE" w:rsidRPr="000F602A">
        <w:rPr>
          <w:sz w:val="24"/>
          <w:szCs w:val="24"/>
        </w:rPr>
        <w:t>Committee of</w:t>
      </w:r>
      <w:r w:rsidR="0066295E" w:rsidRPr="000F602A">
        <w:rPr>
          <w:sz w:val="24"/>
          <w:szCs w:val="24"/>
        </w:rPr>
        <w:t xml:space="preserve"> </w:t>
      </w:r>
      <w:r w:rsidR="00774BAE" w:rsidRPr="000F602A">
        <w:rPr>
          <w:sz w:val="24"/>
          <w:szCs w:val="24"/>
        </w:rPr>
        <w:t>Experts on the Rights and Welfare of the Child</w:t>
      </w:r>
      <w:r w:rsidR="0066295E" w:rsidRPr="000F602A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6295E" w:rsidRPr="000F602A">
        <w:rPr>
          <w:sz w:val="24"/>
          <w:szCs w:val="24"/>
        </w:rPr>
        <w:t>(ACERWC)</w:t>
      </w:r>
      <w:r>
        <w:rPr>
          <w:sz w:val="24"/>
          <w:szCs w:val="24"/>
        </w:rPr>
        <w:t>:</w:t>
      </w:r>
    </w:p>
    <w:p w:rsidR="00774BAE" w:rsidRPr="00B84C5E" w:rsidRDefault="00774BAE" w:rsidP="00774BA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84C5E">
        <w:rPr>
          <w:sz w:val="24"/>
          <w:szCs w:val="24"/>
        </w:rPr>
        <w:t>Technical support to African States</w:t>
      </w:r>
    </w:p>
    <w:p w:rsidR="00BB4355" w:rsidRPr="00B84C5E" w:rsidRDefault="00BB4355" w:rsidP="00BB435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4C5E">
        <w:rPr>
          <w:sz w:val="24"/>
          <w:szCs w:val="24"/>
        </w:rPr>
        <w:t>Senegal: in collaboration with</w:t>
      </w:r>
      <w:r w:rsidR="000A5ABE" w:rsidRPr="00B84C5E">
        <w:rPr>
          <w:sz w:val="24"/>
          <w:szCs w:val="24"/>
        </w:rPr>
        <w:t xml:space="preserve"> the </w:t>
      </w:r>
      <w:r w:rsidRPr="00B84C5E">
        <w:rPr>
          <w:sz w:val="24"/>
          <w:szCs w:val="24"/>
        </w:rPr>
        <w:t>O</w:t>
      </w:r>
      <w:r w:rsidR="000A5ABE" w:rsidRPr="00B84C5E">
        <w:rPr>
          <w:sz w:val="24"/>
          <w:szCs w:val="24"/>
        </w:rPr>
        <w:t xml:space="preserve">pen </w:t>
      </w:r>
      <w:r w:rsidRPr="00B84C5E">
        <w:rPr>
          <w:sz w:val="24"/>
          <w:szCs w:val="24"/>
        </w:rPr>
        <w:t>S</w:t>
      </w:r>
      <w:r w:rsidR="000A5ABE" w:rsidRPr="00B84C5E">
        <w:rPr>
          <w:sz w:val="24"/>
          <w:szCs w:val="24"/>
        </w:rPr>
        <w:t xml:space="preserve">ociety Initiative for </w:t>
      </w:r>
      <w:r w:rsidRPr="00B84C5E">
        <w:rPr>
          <w:sz w:val="24"/>
          <w:szCs w:val="24"/>
        </w:rPr>
        <w:t>W</w:t>
      </w:r>
      <w:r w:rsidR="000A5ABE" w:rsidRPr="00B84C5E">
        <w:rPr>
          <w:sz w:val="24"/>
          <w:szCs w:val="24"/>
        </w:rPr>
        <w:t xml:space="preserve">est </w:t>
      </w:r>
      <w:r w:rsidRPr="00B84C5E">
        <w:rPr>
          <w:sz w:val="24"/>
          <w:szCs w:val="24"/>
        </w:rPr>
        <w:t>A</w:t>
      </w:r>
      <w:r w:rsidR="000A5ABE" w:rsidRPr="00B84C5E">
        <w:rPr>
          <w:sz w:val="24"/>
          <w:szCs w:val="24"/>
        </w:rPr>
        <w:t>frica</w:t>
      </w:r>
      <w:r w:rsidRPr="00B84C5E">
        <w:rPr>
          <w:sz w:val="24"/>
          <w:szCs w:val="24"/>
        </w:rPr>
        <w:t>, A</w:t>
      </w:r>
      <w:r w:rsidR="000A5ABE" w:rsidRPr="00B84C5E">
        <w:rPr>
          <w:sz w:val="24"/>
          <w:szCs w:val="24"/>
        </w:rPr>
        <w:t>fri</w:t>
      </w:r>
      <w:r w:rsidRPr="00B84C5E">
        <w:rPr>
          <w:sz w:val="24"/>
          <w:szCs w:val="24"/>
        </w:rPr>
        <w:t xml:space="preserve">MAP commented </w:t>
      </w:r>
      <w:r w:rsidR="005D1668" w:rsidRPr="00B84C5E">
        <w:rPr>
          <w:sz w:val="24"/>
          <w:szCs w:val="24"/>
        </w:rPr>
        <w:t>on the</w:t>
      </w:r>
      <w:r w:rsidRPr="00B84C5E">
        <w:rPr>
          <w:sz w:val="24"/>
          <w:szCs w:val="24"/>
        </w:rPr>
        <w:t xml:space="preserve"> draft Bill prepared by the Ministry of Justice.</w:t>
      </w:r>
    </w:p>
    <w:p w:rsidR="00BB4355" w:rsidRPr="00B84C5E" w:rsidRDefault="00BB4355" w:rsidP="00BB435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4C5E">
        <w:rPr>
          <w:sz w:val="24"/>
          <w:szCs w:val="24"/>
        </w:rPr>
        <w:t>Nigeria: A</w:t>
      </w:r>
      <w:r w:rsidR="000A5ABE" w:rsidRPr="00B84C5E">
        <w:rPr>
          <w:sz w:val="24"/>
          <w:szCs w:val="24"/>
        </w:rPr>
        <w:t>fri</w:t>
      </w:r>
      <w:r w:rsidRPr="00B84C5E">
        <w:rPr>
          <w:sz w:val="24"/>
          <w:szCs w:val="24"/>
        </w:rPr>
        <w:t>MAP prepared a working document for the debate organized in the country</w:t>
      </w:r>
      <w:r w:rsidR="00247C0E" w:rsidRPr="00B84C5E">
        <w:rPr>
          <w:sz w:val="24"/>
          <w:szCs w:val="24"/>
        </w:rPr>
        <w:t xml:space="preserve"> with the aim of modifying the current constitutional and legislative norms on the right to nationality within the Federal system of Nigeria</w:t>
      </w:r>
      <w:r w:rsidR="00146C4C" w:rsidRPr="00B84C5E">
        <w:rPr>
          <w:sz w:val="24"/>
          <w:szCs w:val="24"/>
        </w:rPr>
        <w:t>.</w:t>
      </w:r>
    </w:p>
    <w:p w:rsidR="00F14013" w:rsidRDefault="00247C0E" w:rsidP="00F1401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4C5E">
        <w:rPr>
          <w:sz w:val="24"/>
          <w:szCs w:val="24"/>
        </w:rPr>
        <w:t>Tanzania: meetings were held with civil society organizations to discuss the reframing of citizenship provisions of the Constitution as part of their contribution to the drafting of the new Constitution.</w:t>
      </w:r>
    </w:p>
    <w:p w:rsidR="00F14013" w:rsidRDefault="00F14013" w:rsidP="00F14013">
      <w:pPr>
        <w:pStyle w:val="ListParagraph"/>
        <w:ind w:left="1440"/>
        <w:rPr>
          <w:sz w:val="24"/>
          <w:szCs w:val="24"/>
        </w:rPr>
      </w:pPr>
    </w:p>
    <w:p w:rsidR="00247C0E" w:rsidRPr="00F14013" w:rsidRDefault="00247C0E" w:rsidP="00E82A4C">
      <w:pPr>
        <w:pStyle w:val="ListParagraph"/>
        <w:ind w:left="0"/>
        <w:rPr>
          <w:sz w:val="24"/>
          <w:szCs w:val="24"/>
        </w:rPr>
      </w:pPr>
      <w:r w:rsidRPr="00F14013">
        <w:rPr>
          <w:b/>
          <w:i/>
          <w:sz w:val="24"/>
          <w:szCs w:val="24"/>
        </w:rPr>
        <w:t>Litigation</w:t>
      </w:r>
      <w:r w:rsidRPr="00F14013">
        <w:rPr>
          <w:sz w:val="24"/>
          <w:szCs w:val="24"/>
        </w:rPr>
        <w:t xml:space="preserve"> </w:t>
      </w:r>
      <w:r w:rsidR="00E46973" w:rsidRPr="00F14013">
        <w:rPr>
          <w:sz w:val="24"/>
          <w:szCs w:val="24"/>
        </w:rPr>
        <w:t>(OSJI</w:t>
      </w:r>
      <w:r w:rsidR="002154DA" w:rsidRPr="00F14013">
        <w:rPr>
          <w:sz w:val="24"/>
          <w:szCs w:val="24"/>
        </w:rPr>
        <w:t xml:space="preserve"> led and in collaboration with AfRO,</w:t>
      </w:r>
      <w:r w:rsidR="00E46973" w:rsidRPr="00F14013">
        <w:rPr>
          <w:sz w:val="24"/>
          <w:szCs w:val="24"/>
        </w:rPr>
        <w:t xml:space="preserve"> OSIEA and OSIWA)</w:t>
      </w:r>
    </w:p>
    <w:p w:rsidR="008C51D2" w:rsidRPr="00B84C5E" w:rsidRDefault="00E82A4C" w:rsidP="00E82A4C">
      <w:pPr>
        <w:pStyle w:val="ListParagraph"/>
        <w:numPr>
          <w:ilvl w:val="0"/>
          <w:numId w:val="17"/>
        </w:numPr>
        <w:tabs>
          <w:tab w:val="left" w:pos="1260"/>
          <w:tab w:val="left" w:pos="1440"/>
        </w:tabs>
        <w:ind w:hanging="108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="00247C0E" w:rsidRPr="00B84C5E">
        <w:rPr>
          <w:sz w:val="24"/>
          <w:szCs w:val="24"/>
          <w:lang w:val="en-US"/>
        </w:rPr>
        <w:t xml:space="preserve">African Commission: </w:t>
      </w:r>
      <w:r w:rsidR="00513DA0" w:rsidRPr="00B84C5E">
        <w:rPr>
          <w:sz w:val="24"/>
          <w:szCs w:val="24"/>
          <w:lang w:val="en-US"/>
        </w:rPr>
        <w:t>two cases</w:t>
      </w:r>
    </w:p>
    <w:p w:rsidR="00E46973" w:rsidRPr="00B84C5E" w:rsidRDefault="00247C0E" w:rsidP="00BD4415">
      <w:pPr>
        <w:pStyle w:val="ListParagraph"/>
        <w:numPr>
          <w:ilvl w:val="0"/>
          <w:numId w:val="9"/>
        </w:numPr>
        <w:ind w:left="1440" w:firstLine="360"/>
        <w:rPr>
          <w:sz w:val="24"/>
          <w:szCs w:val="24"/>
          <w:lang w:val="en-US"/>
        </w:rPr>
      </w:pPr>
      <w:r w:rsidRPr="00B84C5E">
        <w:rPr>
          <w:b/>
          <w:sz w:val="24"/>
          <w:szCs w:val="24"/>
          <w:lang w:val="en-US"/>
        </w:rPr>
        <w:t>People vs. Cote d’</w:t>
      </w:r>
      <w:r w:rsidR="00513DA0" w:rsidRPr="00B84C5E">
        <w:rPr>
          <w:b/>
          <w:sz w:val="24"/>
          <w:szCs w:val="24"/>
          <w:lang w:val="en-US"/>
        </w:rPr>
        <w:t>Ivoire</w:t>
      </w:r>
      <w:r w:rsidRPr="00B84C5E">
        <w:rPr>
          <w:sz w:val="24"/>
          <w:szCs w:val="24"/>
          <w:lang w:val="en-US"/>
        </w:rPr>
        <w:t xml:space="preserve"> </w:t>
      </w:r>
    </w:p>
    <w:p w:rsidR="00691DE7" w:rsidRPr="00B84C5E" w:rsidRDefault="00E46973" w:rsidP="00E46973">
      <w:pPr>
        <w:pStyle w:val="ListParagraph"/>
        <w:ind w:left="1800"/>
        <w:rPr>
          <w:sz w:val="24"/>
          <w:szCs w:val="24"/>
          <w:lang w:val="en-US"/>
        </w:rPr>
      </w:pPr>
      <w:r w:rsidRPr="00B84C5E">
        <w:rPr>
          <w:sz w:val="24"/>
          <w:szCs w:val="24"/>
          <w:lang w:val="en-US"/>
        </w:rPr>
        <w:t>D</w:t>
      </w:r>
      <w:r w:rsidR="00247C0E" w:rsidRPr="00B84C5E">
        <w:rPr>
          <w:sz w:val="24"/>
          <w:szCs w:val="24"/>
          <w:lang w:val="en-US"/>
        </w:rPr>
        <w:t xml:space="preserve">iscriminatory denial/deprivation of citizenship </w:t>
      </w:r>
    </w:p>
    <w:p w:rsidR="00BD4415" w:rsidRPr="00B84C5E" w:rsidRDefault="005E00C3" w:rsidP="00BD4415">
      <w:pPr>
        <w:pStyle w:val="ListParagraph"/>
        <w:ind w:left="1800" w:hanging="360"/>
        <w:rPr>
          <w:sz w:val="24"/>
          <w:szCs w:val="24"/>
          <w:lang w:val="en-US"/>
        </w:rPr>
      </w:pPr>
      <w:hyperlink r:id="rId16" w:history="1">
        <w:r w:rsidR="00BD4415" w:rsidRPr="00B84C5E">
          <w:rPr>
            <w:rStyle w:val="Hyperlink"/>
            <w:sz w:val="24"/>
            <w:szCs w:val="24"/>
            <w:lang w:val="en-US"/>
          </w:rPr>
          <w:t>http://www.opensocietyfoundations.org/litigation/people-v-c-te-divoire</w:t>
        </w:r>
      </w:hyperlink>
    </w:p>
    <w:p w:rsidR="003F7477" w:rsidRPr="00B84C5E" w:rsidRDefault="003F7477" w:rsidP="00BD4415">
      <w:pPr>
        <w:pStyle w:val="ListParagraph"/>
        <w:ind w:left="1800" w:hanging="360"/>
        <w:rPr>
          <w:sz w:val="24"/>
          <w:szCs w:val="24"/>
          <w:lang w:val="en-US"/>
        </w:rPr>
      </w:pPr>
    </w:p>
    <w:p w:rsidR="00E46973" w:rsidRPr="00B84C5E" w:rsidRDefault="00513DA0" w:rsidP="006C49C5">
      <w:pPr>
        <w:pStyle w:val="ListParagraph"/>
        <w:numPr>
          <w:ilvl w:val="0"/>
          <w:numId w:val="9"/>
        </w:numPr>
        <w:ind w:left="1440" w:firstLine="360"/>
        <w:rPr>
          <w:sz w:val="24"/>
          <w:szCs w:val="24"/>
          <w:lang w:val="en-US"/>
        </w:rPr>
      </w:pPr>
      <w:r w:rsidRPr="00B84C5E">
        <w:rPr>
          <w:b/>
          <w:sz w:val="24"/>
          <w:szCs w:val="24"/>
          <w:lang w:val="en-US"/>
        </w:rPr>
        <w:t>Ali vs. Kenya</w:t>
      </w:r>
    </w:p>
    <w:p w:rsidR="009B5747" w:rsidRPr="00B84C5E" w:rsidRDefault="00E46973" w:rsidP="00E46973">
      <w:pPr>
        <w:pStyle w:val="ListParagraph"/>
        <w:ind w:left="1800"/>
        <w:rPr>
          <w:sz w:val="24"/>
          <w:szCs w:val="24"/>
          <w:lang w:val="en-US"/>
        </w:rPr>
      </w:pPr>
      <w:r w:rsidRPr="00B84C5E">
        <w:rPr>
          <w:sz w:val="24"/>
          <w:szCs w:val="24"/>
          <w:lang w:val="en-US"/>
        </w:rPr>
        <w:t>D</w:t>
      </w:r>
      <w:r w:rsidR="00513DA0" w:rsidRPr="00B84C5E">
        <w:rPr>
          <w:sz w:val="24"/>
          <w:szCs w:val="24"/>
          <w:lang w:val="en-US"/>
        </w:rPr>
        <w:t xml:space="preserve">iscrimination in access to citizenship for Kenyan Nubians </w:t>
      </w:r>
      <w:hyperlink r:id="rId17" w:history="1">
        <w:r w:rsidR="006C49C5"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http://www.opensocietyfoundations.org/sites/default/files/audit_20040727.pdf</w:t>
        </w:r>
      </w:hyperlink>
    </w:p>
    <w:p w:rsidR="009B5747" w:rsidRPr="00B84C5E" w:rsidRDefault="009B5747" w:rsidP="00E46973">
      <w:pPr>
        <w:pStyle w:val="ListParagraph"/>
        <w:spacing w:after="0" w:line="240" w:lineRule="auto"/>
        <w:rPr>
          <w:sz w:val="24"/>
          <w:szCs w:val="24"/>
          <w:lang w:val="en-US"/>
        </w:rPr>
      </w:pPr>
      <w:r w:rsidRPr="00B84C5E">
        <w:rPr>
          <w:rFonts w:eastAsia="Times New Roman" w:cs="Times New Roman"/>
          <w:sz w:val="24"/>
          <w:szCs w:val="24"/>
          <w:lang w:val="en-US"/>
        </w:rPr>
        <w:t> </w:t>
      </w:r>
      <w:r w:rsidR="00691DE7" w:rsidRPr="00B84C5E">
        <w:rPr>
          <w:rFonts w:eastAsia="Times New Roman" w:cs="Times New Roman"/>
          <w:sz w:val="24"/>
          <w:szCs w:val="24"/>
          <w:lang w:val="en-US"/>
        </w:rPr>
        <w:tab/>
      </w:r>
    </w:p>
    <w:p w:rsidR="00513DA0" w:rsidRPr="00B84C5E" w:rsidRDefault="00513DA0" w:rsidP="00E82A4C">
      <w:pPr>
        <w:pStyle w:val="ListParagraph"/>
        <w:numPr>
          <w:ilvl w:val="0"/>
          <w:numId w:val="17"/>
        </w:numPr>
        <w:tabs>
          <w:tab w:val="left" w:pos="1530"/>
        </w:tabs>
        <w:ind w:hanging="1080"/>
        <w:rPr>
          <w:sz w:val="24"/>
          <w:szCs w:val="24"/>
          <w:lang w:val="en-US"/>
        </w:rPr>
      </w:pPr>
      <w:r w:rsidRPr="00B84C5E">
        <w:rPr>
          <w:sz w:val="24"/>
          <w:szCs w:val="24"/>
          <w:lang w:val="en-US"/>
        </w:rPr>
        <w:t>Committee on the Rights and Welfare of the Child</w:t>
      </w:r>
      <w:r w:rsidR="00A24229" w:rsidRPr="00B84C5E">
        <w:rPr>
          <w:sz w:val="24"/>
          <w:szCs w:val="24"/>
          <w:lang w:val="en-US"/>
        </w:rPr>
        <w:tab/>
      </w:r>
      <w:r w:rsidR="00A24229" w:rsidRPr="00B84C5E">
        <w:rPr>
          <w:sz w:val="24"/>
          <w:szCs w:val="24"/>
          <w:lang w:val="en-US"/>
        </w:rPr>
        <w:tab/>
      </w:r>
    </w:p>
    <w:p w:rsidR="006C49C5" w:rsidRPr="00B84C5E" w:rsidRDefault="00F14013" w:rsidP="00E82A4C">
      <w:pPr>
        <w:pStyle w:val="ListParagraph"/>
        <w:numPr>
          <w:ilvl w:val="0"/>
          <w:numId w:val="8"/>
        </w:numPr>
        <w:tabs>
          <w:tab w:val="left" w:pos="1080"/>
          <w:tab w:val="left" w:pos="1170"/>
          <w:tab w:val="left" w:pos="1440"/>
          <w:tab w:val="left" w:pos="1710"/>
          <w:tab w:val="left" w:pos="2160"/>
        </w:tabs>
        <w:spacing w:after="0" w:line="240" w:lineRule="auto"/>
        <w:ind w:left="1800" w:hanging="90"/>
        <w:rPr>
          <w:rFonts w:eastAsia="Times New Roman" w:cs="Times New Roman"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 w:rsidR="00E82A4C">
        <w:rPr>
          <w:b/>
          <w:sz w:val="24"/>
          <w:szCs w:val="24"/>
          <w:lang w:val="en-US"/>
        </w:rPr>
        <w:tab/>
      </w:r>
      <w:r w:rsidR="00513DA0" w:rsidRPr="00B84C5E">
        <w:rPr>
          <w:b/>
          <w:sz w:val="24"/>
          <w:szCs w:val="24"/>
          <w:lang w:val="en-US"/>
        </w:rPr>
        <w:t>Nubian minors vs. Kenya</w:t>
      </w:r>
      <w:r w:rsidR="00513DA0" w:rsidRPr="00B84C5E">
        <w:rPr>
          <w:sz w:val="24"/>
          <w:szCs w:val="24"/>
          <w:lang w:val="en-US"/>
        </w:rPr>
        <w:t xml:space="preserve"> regarding the discrimination in access to </w:t>
      </w:r>
      <w:r w:rsidR="00A4395A" w:rsidRPr="00B84C5E">
        <w:rPr>
          <w:sz w:val="24"/>
          <w:szCs w:val="24"/>
          <w:lang w:val="en-US"/>
        </w:rPr>
        <w:t xml:space="preserve">    </w:t>
      </w:r>
      <w:r w:rsidR="00E46973" w:rsidRPr="00B84C5E">
        <w:rPr>
          <w:sz w:val="24"/>
          <w:szCs w:val="24"/>
          <w:lang w:val="en-US"/>
        </w:rPr>
        <w:t xml:space="preserve">    </w:t>
      </w:r>
      <w:r w:rsidR="00CA2D99" w:rsidRPr="00B84C5E">
        <w:rPr>
          <w:sz w:val="24"/>
          <w:szCs w:val="24"/>
          <w:lang w:val="en-US"/>
        </w:rPr>
        <w:t>Discrimination in access to cit</w:t>
      </w:r>
      <w:r w:rsidR="00513DA0" w:rsidRPr="00B84C5E">
        <w:rPr>
          <w:sz w:val="24"/>
          <w:szCs w:val="24"/>
          <w:lang w:val="en-US"/>
        </w:rPr>
        <w:t xml:space="preserve">izenship for Nubian </w:t>
      </w:r>
      <w:hyperlink r:id="rId18" w:history="1">
        <w:r w:rsidR="006C49C5" w:rsidRPr="00B84C5E">
          <w:rPr>
            <w:color w:val="0000FF" w:themeColor="hyperlink"/>
            <w:sz w:val="24"/>
            <w:szCs w:val="24"/>
            <w:u w:val="single"/>
            <w:lang w:val="en-US"/>
          </w:rPr>
          <w:t>http://www.opensocietyfoundations.org/sites/default/files/ACERWC-nubian-minors-decision-20110322.pdf</w:t>
        </w:r>
      </w:hyperlink>
    </w:p>
    <w:p w:rsidR="00247C0E" w:rsidRPr="00B84C5E" w:rsidRDefault="00247C0E" w:rsidP="00247C0E">
      <w:pPr>
        <w:pStyle w:val="ListParagraph"/>
        <w:rPr>
          <w:sz w:val="24"/>
          <w:szCs w:val="24"/>
          <w:lang w:val="en-US"/>
        </w:rPr>
      </w:pPr>
    </w:p>
    <w:p w:rsidR="00F14013" w:rsidRPr="00E82A4C" w:rsidRDefault="002154DA" w:rsidP="00E82A4C">
      <w:pPr>
        <w:pStyle w:val="NoSpacing"/>
        <w:rPr>
          <w:b/>
          <w:i/>
          <w:lang w:val="en-US"/>
        </w:rPr>
      </w:pPr>
      <w:r w:rsidRPr="00E82A4C">
        <w:rPr>
          <w:b/>
          <w:i/>
          <w:lang w:val="en-US"/>
        </w:rPr>
        <w:t>Regional and Continental partners:</w:t>
      </w:r>
      <w:r w:rsidR="00596591" w:rsidRPr="00E82A4C">
        <w:rPr>
          <w:b/>
          <w:i/>
          <w:lang w:val="en-US"/>
        </w:rPr>
        <w:t xml:space="preserve"> </w:t>
      </w:r>
      <w:r w:rsidRPr="00E82A4C">
        <w:rPr>
          <w:b/>
          <w:i/>
          <w:lang w:val="en-US"/>
        </w:rPr>
        <w:t xml:space="preserve"> </w:t>
      </w:r>
    </w:p>
    <w:p w:rsidR="002154DA" w:rsidRPr="00F14013" w:rsidRDefault="002154DA" w:rsidP="00E82A4C">
      <w:pPr>
        <w:pStyle w:val="NoSpacing"/>
        <w:rPr>
          <w:lang w:val="en-US"/>
        </w:rPr>
      </w:pPr>
      <w:r w:rsidRPr="00F14013">
        <w:rPr>
          <w:lang w:val="en-US"/>
        </w:rPr>
        <w:t>Africa foundations (OSIEA, OSIWA, OSISA, OSF-SA); O</w:t>
      </w:r>
      <w:r w:rsidR="00B735D4" w:rsidRPr="00F14013">
        <w:rPr>
          <w:lang w:val="en-US"/>
        </w:rPr>
        <w:t>pen Society Justice</w:t>
      </w:r>
      <w:r w:rsidRPr="00F14013">
        <w:rPr>
          <w:lang w:val="en-US"/>
        </w:rPr>
        <w:t xml:space="preserve"> Initiative; Citizenship Rights for Africa Initiative (CRAI); International Refugee Rights Initiative (IRRI); AU member </w:t>
      </w:r>
      <w:r w:rsidR="00B735D4" w:rsidRPr="00F14013">
        <w:rPr>
          <w:lang w:val="en-US"/>
        </w:rPr>
        <w:t>states;</w:t>
      </w:r>
      <w:r w:rsidRPr="00F14013">
        <w:rPr>
          <w:lang w:val="en-US"/>
        </w:rPr>
        <w:t xml:space="preserve"> Africa</w:t>
      </w:r>
      <w:r w:rsidR="00B735D4" w:rsidRPr="00F14013">
        <w:rPr>
          <w:lang w:val="en-US"/>
        </w:rPr>
        <w:t>n</w:t>
      </w:r>
      <w:r w:rsidRPr="00F14013">
        <w:rPr>
          <w:lang w:val="en-US"/>
        </w:rPr>
        <w:t xml:space="preserve"> Commission on Human and People’s Rights; African Committee of Experts on the Rights and Welfare of the Child; African Union Commission (AUC</w:t>
      </w:r>
      <w:r w:rsidR="00B735D4" w:rsidRPr="00F14013">
        <w:rPr>
          <w:lang w:val="en-US"/>
        </w:rPr>
        <w:t>) on</w:t>
      </w:r>
      <w:r w:rsidRPr="00F14013">
        <w:rPr>
          <w:lang w:val="en-US"/>
        </w:rPr>
        <w:t xml:space="preserve"> International Law; Department of Political Affairs of the AUC;</w:t>
      </w:r>
    </w:p>
    <w:p w:rsidR="001D21F7" w:rsidRPr="00F14013" w:rsidRDefault="002154DA" w:rsidP="00E82A4C">
      <w:pPr>
        <w:autoSpaceDE w:val="0"/>
        <w:autoSpaceDN w:val="0"/>
        <w:spacing w:before="100" w:beforeAutospacing="1" w:after="100" w:afterAutospacing="1" w:line="240" w:lineRule="auto"/>
        <w:rPr>
          <w:rFonts w:cs="Times New Roman"/>
          <w:color w:val="000000"/>
          <w:sz w:val="24"/>
          <w:szCs w:val="24"/>
          <w:lang w:val="en-US"/>
        </w:rPr>
      </w:pPr>
      <w:r w:rsidRPr="00E82A4C">
        <w:rPr>
          <w:rFonts w:cs="Times New Roman"/>
          <w:b/>
          <w:i/>
          <w:color w:val="000000"/>
          <w:sz w:val="24"/>
          <w:szCs w:val="24"/>
          <w:lang w:val="en-US"/>
        </w:rPr>
        <w:t> International partners</w:t>
      </w:r>
      <w:r w:rsidR="00E82A4C" w:rsidRPr="00E82A4C">
        <w:rPr>
          <w:rFonts w:cs="Times New Roman"/>
          <w:b/>
          <w:i/>
          <w:color w:val="000000"/>
          <w:sz w:val="24"/>
          <w:szCs w:val="24"/>
          <w:lang w:val="en-US"/>
        </w:rPr>
        <w:t xml:space="preserve">: </w:t>
      </w:r>
      <w:r w:rsidRPr="00E82A4C">
        <w:rPr>
          <w:rFonts w:cs="Times New Roman"/>
          <w:b/>
          <w:i/>
          <w:color w:val="000000"/>
          <w:sz w:val="24"/>
          <w:szCs w:val="24"/>
          <w:lang w:val="en-US"/>
        </w:rPr>
        <w:br/>
      </w:r>
      <w:r w:rsidRPr="00F14013">
        <w:rPr>
          <w:rFonts w:cs="Times New Roman"/>
          <w:color w:val="000000"/>
          <w:sz w:val="24"/>
          <w:szCs w:val="24"/>
          <w:lang w:val="en-US"/>
        </w:rPr>
        <w:t>UNHCR.</w:t>
      </w:r>
      <w:r w:rsidR="001D21F7" w:rsidRPr="00F14013">
        <w:rPr>
          <w:rFonts w:cs="Times New Roman"/>
          <w:color w:val="000000"/>
          <w:sz w:val="24"/>
          <w:szCs w:val="24"/>
          <w:lang w:val="en-US"/>
        </w:rPr>
        <w:t xml:space="preserve">    </w:t>
      </w:r>
    </w:p>
    <w:sectPr w:rsidR="001D21F7" w:rsidRPr="00F14013" w:rsidSect="00E82A4C">
      <w:footerReference w:type="default" r:id="rId19"/>
      <w:pgSz w:w="11906" w:h="16838"/>
      <w:pgMar w:top="576" w:right="1440" w:bottom="57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CC" w:rsidRDefault="008022CC" w:rsidP="00A24229">
      <w:pPr>
        <w:spacing w:after="0" w:line="240" w:lineRule="auto"/>
      </w:pPr>
      <w:r>
        <w:separator/>
      </w:r>
    </w:p>
  </w:endnote>
  <w:endnote w:type="continuationSeparator" w:id="0">
    <w:p w:rsidR="008022CC" w:rsidRDefault="008022CC" w:rsidP="00A2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6981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51D2" w:rsidRDefault="008C51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0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51D2" w:rsidRDefault="008C51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CC" w:rsidRDefault="008022CC" w:rsidP="00A24229">
      <w:pPr>
        <w:spacing w:after="0" w:line="240" w:lineRule="auto"/>
      </w:pPr>
      <w:r>
        <w:separator/>
      </w:r>
    </w:p>
  </w:footnote>
  <w:footnote w:type="continuationSeparator" w:id="0">
    <w:p w:rsidR="008022CC" w:rsidRDefault="008022CC" w:rsidP="00A24229">
      <w:pPr>
        <w:spacing w:after="0" w:line="240" w:lineRule="auto"/>
      </w:pPr>
      <w:r>
        <w:continuationSeparator/>
      </w:r>
    </w:p>
  </w:footnote>
  <w:footnote w:id="1">
    <w:p w:rsidR="004E5478" w:rsidRDefault="004E5478" w:rsidP="004E54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A73D0">
        <w:rPr>
          <w:sz w:val="16"/>
          <w:szCs w:val="16"/>
        </w:rPr>
        <w:t xml:space="preserve">Bronwen Manby was former </w:t>
      </w:r>
      <w:r>
        <w:rPr>
          <w:sz w:val="16"/>
          <w:szCs w:val="16"/>
        </w:rPr>
        <w:t xml:space="preserve">senior program advisor </w:t>
      </w:r>
      <w:r w:rsidRPr="003A73D0">
        <w:rPr>
          <w:sz w:val="16"/>
          <w:szCs w:val="16"/>
        </w:rPr>
        <w:t>with A</w:t>
      </w:r>
      <w:r>
        <w:rPr>
          <w:sz w:val="16"/>
          <w:szCs w:val="16"/>
        </w:rPr>
        <w:t>fri</w:t>
      </w:r>
      <w:r w:rsidRPr="003A73D0">
        <w:rPr>
          <w:sz w:val="16"/>
          <w:szCs w:val="16"/>
        </w:rPr>
        <w:t>MAP (Africa Governance Monitoring and Advocacy Project)</w:t>
      </w:r>
      <w:r>
        <w:rPr>
          <w:sz w:val="16"/>
          <w:szCs w:val="16"/>
        </w:rPr>
        <w:t xml:space="preserve"> until it became part of the Africa Regional Office in 2013 when she transitioned to work with AfRO until her resignation effective January 31, 2014.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2DA"/>
    <w:multiLevelType w:val="hybridMultilevel"/>
    <w:tmpl w:val="C6F4F78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927DA"/>
    <w:multiLevelType w:val="hybridMultilevel"/>
    <w:tmpl w:val="38E2895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FF5480"/>
    <w:multiLevelType w:val="multilevel"/>
    <w:tmpl w:val="1714D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2568A"/>
    <w:multiLevelType w:val="hybridMultilevel"/>
    <w:tmpl w:val="477A8B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70042"/>
    <w:multiLevelType w:val="hybridMultilevel"/>
    <w:tmpl w:val="35FA06C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273670"/>
    <w:multiLevelType w:val="multilevel"/>
    <w:tmpl w:val="27181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B35544"/>
    <w:multiLevelType w:val="hybridMultilevel"/>
    <w:tmpl w:val="B8286C9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ED394C"/>
    <w:multiLevelType w:val="multilevel"/>
    <w:tmpl w:val="D5022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367597"/>
    <w:multiLevelType w:val="hybridMultilevel"/>
    <w:tmpl w:val="CD9EB268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414C3836"/>
    <w:multiLevelType w:val="hybridMultilevel"/>
    <w:tmpl w:val="5EF666EA"/>
    <w:lvl w:ilvl="0" w:tplc="0409001B">
      <w:start w:val="1"/>
      <w:numFmt w:val="lowerRoman"/>
      <w:lvlText w:val="%1."/>
      <w:lvlJc w:val="righ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0">
    <w:nsid w:val="4EFB391A"/>
    <w:multiLevelType w:val="hybridMultilevel"/>
    <w:tmpl w:val="A1A81E5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3832148"/>
    <w:multiLevelType w:val="hybridMultilevel"/>
    <w:tmpl w:val="026643B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DD21C2D"/>
    <w:multiLevelType w:val="hybridMultilevel"/>
    <w:tmpl w:val="2B48DBF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D583E"/>
    <w:multiLevelType w:val="multilevel"/>
    <w:tmpl w:val="3582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4250E61"/>
    <w:multiLevelType w:val="hybridMultilevel"/>
    <w:tmpl w:val="12B6220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5A91A88"/>
    <w:multiLevelType w:val="multilevel"/>
    <w:tmpl w:val="176276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0F270C"/>
    <w:multiLevelType w:val="multilevel"/>
    <w:tmpl w:val="3F701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6"/>
  </w:num>
  <w:num w:numId="8">
    <w:abstractNumId w:val="11"/>
  </w:num>
  <w:num w:numId="9">
    <w:abstractNumId w:val="14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4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AE"/>
    <w:rsid w:val="000203FA"/>
    <w:rsid w:val="0004128F"/>
    <w:rsid w:val="000A5ABE"/>
    <w:rsid w:val="000D3E47"/>
    <w:rsid w:val="000F602A"/>
    <w:rsid w:val="00124403"/>
    <w:rsid w:val="00146C4C"/>
    <w:rsid w:val="00161792"/>
    <w:rsid w:val="001720BC"/>
    <w:rsid w:val="001D21F7"/>
    <w:rsid w:val="002154DA"/>
    <w:rsid w:val="00247C0E"/>
    <w:rsid w:val="002D2CD9"/>
    <w:rsid w:val="00357601"/>
    <w:rsid w:val="00393BC0"/>
    <w:rsid w:val="003B62EC"/>
    <w:rsid w:val="003F7477"/>
    <w:rsid w:val="00432336"/>
    <w:rsid w:val="00437FA7"/>
    <w:rsid w:val="00450B8C"/>
    <w:rsid w:val="004B6219"/>
    <w:rsid w:val="004B7A11"/>
    <w:rsid w:val="004E5478"/>
    <w:rsid w:val="00513DA0"/>
    <w:rsid w:val="00525533"/>
    <w:rsid w:val="00546C7B"/>
    <w:rsid w:val="00596591"/>
    <w:rsid w:val="0059777B"/>
    <w:rsid w:val="005D1668"/>
    <w:rsid w:val="005D4F27"/>
    <w:rsid w:val="005E00C3"/>
    <w:rsid w:val="0066295E"/>
    <w:rsid w:val="00691DE7"/>
    <w:rsid w:val="006C49C5"/>
    <w:rsid w:val="006F2A4C"/>
    <w:rsid w:val="0075382B"/>
    <w:rsid w:val="00774BAE"/>
    <w:rsid w:val="007A449E"/>
    <w:rsid w:val="008022CC"/>
    <w:rsid w:val="0081290D"/>
    <w:rsid w:val="008C51D2"/>
    <w:rsid w:val="00910FBB"/>
    <w:rsid w:val="009B07D9"/>
    <w:rsid w:val="009B5747"/>
    <w:rsid w:val="009E28C7"/>
    <w:rsid w:val="00A24229"/>
    <w:rsid w:val="00A4395A"/>
    <w:rsid w:val="00A829E7"/>
    <w:rsid w:val="00AE7B21"/>
    <w:rsid w:val="00B63974"/>
    <w:rsid w:val="00B735D4"/>
    <w:rsid w:val="00B84C5E"/>
    <w:rsid w:val="00BB4355"/>
    <w:rsid w:val="00BC30F4"/>
    <w:rsid w:val="00BD4415"/>
    <w:rsid w:val="00CA2D99"/>
    <w:rsid w:val="00D553F5"/>
    <w:rsid w:val="00DF2175"/>
    <w:rsid w:val="00E46973"/>
    <w:rsid w:val="00E66311"/>
    <w:rsid w:val="00E82A4C"/>
    <w:rsid w:val="00EC5719"/>
    <w:rsid w:val="00F14013"/>
    <w:rsid w:val="00F33C91"/>
    <w:rsid w:val="00F41E46"/>
    <w:rsid w:val="00FB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BA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D1668"/>
  </w:style>
  <w:style w:type="paragraph" w:styleId="Header">
    <w:name w:val="header"/>
    <w:basedOn w:val="Normal"/>
    <w:link w:val="HeaderChar"/>
    <w:uiPriority w:val="99"/>
    <w:unhideWhenUsed/>
    <w:rsid w:val="00A2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229"/>
  </w:style>
  <w:style w:type="paragraph" w:styleId="Footer">
    <w:name w:val="footer"/>
    <w:basedOn w:val="Normal"/>
    <w:link w:val="FooterChar"/>
    <w:uiPriority w:val="99"/>
    <w:unhideWhenUsed/>
    <w:rsid w:val="00A2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229"/>
  </w:style>
  <w:style w:type="character" w:styleId="Hyperlink">
    <w:name w:val="Hyperlink"/>
    <w:basedOn w:val="DefaultParagraphFont"/>
    <w:uiPriority w:val="99"/>
    <w:unhideWhenUsed/>
    <w:rsid w:val="00DF2175"/>
    <w:rPr>
      <w:color w:val="0000FF"/>
      <w:u w:val="single"/>
    </w:rPr>
  </w:style>
  <w:style w:type="paragraph" w:styleId="NoSpacing">
    <w:name w:val="No Spacing"/>
    <w:uiPriority w:val="1"/>
    <w:qFormat/>
    <w:rsid w:val="003B62E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20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0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0B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95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E547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B621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46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9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9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BA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D1668"/>
  </w:style>
  <w:style w:type="paragraph" w:styleId="Header">
    <w:name w:val="header"/>
    <w:basedOn w:val="Normal"/>
    <w:link w:val="HeaderChar"/>
    <w:uiPriority w:val="99"/>
    <w:unhideWhenUsed/>
    <w:rsid w:val="00A2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229"/>
  </w:style>
  <w:style w:type="paragraph" w:styleId="Footer">
    <w:name w:val="footer"/>
    <w:basedOn w:val="Normal"/>
    <w:link w:val="FooterChar"/>
    <w:uiPriority w:val="99"/>
    <w:unhideWhenUsed/>
    <w:rsid w:val="00A2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229"/>
  </w:style>
  <w:style w:type="character" w:styleId="Hyperlink">
    <w:name w:val="Hyperlink"/>
    <w:basedOn w:val="DefaultParagraphFont"/>
    <w:uiPriority w:val="99"/>
    <w:unhideWhenUsed/>
    <w:rsid w:val="00DF2175"/>
    <w:rPr>
      <w:color w:val="0000FF"/>
      <w:u w:val="single"/>
    </w:rPr>
  </w:style>
  <w:style w:type="paragraph" w:styleId="NoSpacing">
    <w:name w:val="No Spacing"/>
    <w:uiPriority w:val="1"/>
    <w:qFormat/>
    <w:rsid w:val="003B62E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20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0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0B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95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E547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B621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46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9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9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6688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7921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9438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3579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8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9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188371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0787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1417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4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1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755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0525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90434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423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5992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8016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5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frimap.org/ReportTheme/Citizenship" TargetMode="External"/><Relationship Id="rId18" Type="http://schemas.openxmlformats.org/officeDocument/2006/relationships/hyperlink" Target="http://www.opensocietyfoundations.org/sites/default/files/ACERWC-nubian-minors-decision-20110322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afrimap.org/english/images/report/OSIEA_Sudans_Nationality_April2012_summary.pdf" TargetMode="External"/><Relationship Id="rId17" Type="http://schemas.openxmlformats.org/officeDocument/2006/relationships/hyperlink" Target="http://www.opensocietyfoundations.org/sites/default/files/audit_2004072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ensocietyfoundations.org/litigation/people-v-c-te-divoir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frimap.org/english/images/report/OSF_Sudan_nationality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frimap.org/english/images/report/AfriMAP-AU-Guide-EN.pdf" TargetMode="External"/><Relationship Id="rId10" Type="http://schemas.openxmlformats.org/officeDocument/2006/relationships/hyperlink" Target="http://www.afrimap.org/english/images/report/Struggles-for-Citizenship-Ch1-print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frimap.org/english/images/report/OSF_Citizenship_Law_in_Africa_Summary.pdf" TargetMode="External"/><Relationship Id="rId14" Type="http://schemas.openxmlformats.org/officeDocument/2006/relationships/hyperlink" Target="http://citizenshiprightsinafrica.org/category/crai-public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0F398-4A88-48FB-AF03-0DD7A2FF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6099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Ibrahima Kane</dc:creator>
  <cp:lastModifiedBy>Daphne Panayotatos</cp:lastModifiedBy>
  <cp:revision>2</cp:revision>
  <cp:lastPrinted>2014-03-03T15:14:00Z</cp:lastPrinted>
  <dcterms:created xsi:type="dcterms:W3CDTF">2014-04-10T16:11:00Z</dcterms:created>
  <dcterms:modified xsi:type="dcterms:W3CDTF">2014-04-10T16:11:00Z</dcterms:modified>
</cp:coreProperties>
</file>