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3EB" w:rsidRPr="005B2A1C" w:rsidRDefault="009D5F62" w:rsidP="009D5F62">
      <w:pPr>
        <w:spacing w:after="0" w:line="240" w:lineRule="auto"/>
        <w:jc w:val="center"/>
        <w:rPr>
          <w:rFonts w:ascii="Garamond" w:hAnsi="Garamond"/>
          <w:b/>
          <w:i/>
          <w:color w:val="1F497D" w:themeColor="text2"/>
          <w:sz w:val="24"/>
        </w:rPr>
      </w:pPr>
      <w:bookmarkStart w:id="0" w:name="_GoBack"/>
      <w:bookmarkEnd w:id="0"/>
      <w:r w:rsidRPr="0028166E">
        <w:rPr>
          <w:rFonts w:ascii="Garamond" w:hAnsi="Garamond"/>
          <w:b/>
          <w:color w:val="1F497D" w:themeColor="text2"/>
          <w:sz w:val="24"/>
        </w:rPr>
        <w:t>EFFECTIVE DEMOCRACIE</w:t>
      </w:r>
      <w:r w:rsidR="0028166E" w:rsidRPr="0028166E">
        <w:rPr>
          <w:rFonts w:ascii="Garamond" w:hAnsi="Garamond"/>
          <w:b/>
          <w:color w:val="1F497D" w:themeColor="text2"/>
          <w:sz w:val="24"/>
        </w:rPr>
        <w:t>S IN THE 21ST CENTURY CONCEPT</w:t>
      </w:r>
      <w:r w:rsidR="00C173EB" w:rsidRPr="00C173EB">
        <w:rPr>
          <w:rFonts w:ascii="Garamond" w:hAnsi="Garamond"/>
          <w:b/>
          <w:color w:val="1F497D" w:themeColor="text2"/>
          <w:sz w:val="24"/>
        </w:rPr>
        <w:t xml:space="preserve"> </w:t>
      </w:r>
      <w:r w:rsidR="00C173EB" w:rsidRPr="005B2A1C">
        <w:rPr>
          <w:rFonts w:ascii="Garamond" w:hAnsi="Garamond"/>
          <w:b/>
          <w:i/>
          <w:color w:val="1F497D" w:themeColor="text2"/>
          <w:sz w:val="24"/>
        </w:rPr>
        <w:t>PORTFOLIO ELEMENTS</w:t>
      </w:r>
    </w:p>
    <w:p w:rsidR="005B2A1C" w:rsidRDefault="00C173EB" w:rsidP="00A4379C">
      <w:pPr>
        <w:spacing w:after="0" w:line="240" w:lineRule="auto"/>
        <w:jc w:val="center"/>
        <w:rPr>
          <w:rFonts w:ascii="Garamond" w:hAnsi="Garamond"/>
          <w:b/>
          <w:color w:val="1F497D" w:themeColor="text2"/>
          <w:sz w:val="20"/>
        </w:rPr>
      </w:pPr>
      <w:r>
        <w:rPr>
          <w:rFonts w:ascii="Garamond" w:hAnsi="Garamond"/>
          <w:b/>
          <w:color w:val="1F497D" w:themeColor="text2"/>
          <w:sz w:val="20"/>
        </w:rPr>
        <w:t xml:space="preserve">Latin America Program </w:t>
      </w:r>
      <w:r w:rsidR="00F95134">
        <w:rPr>
          <w:rFonts w:ascii="Garamond" w:hAnsi="Garamond"/>
          <w:b/>
          <w:color w:val="1F497D" w:themeColor="text2"/>
          <w:sz w:val="20"/>
        </w:rPr>
        <w:t xml:space="preserve">Presidential </w:t>
      </w:r>
      <w:r w:rsidR="009D5F62" w:rsidRPr="0028166E">
        <w:rPr>
          <w:rFonts w:ascii="Garamond" w:hAnsi="Garamond"/>
          <w:b/>
          <w:color w:val="1F497D" w:themeColor="text2"/>
          <w:sz w:val="20"/>
        </w:rPr>
        <w:t xml:space="preserve">Portfolio Review </w:t>
      </w:r>
    </w:p>
    <w:p w:rsidR="00F10759" w:rsidRDefault="009D5F62" w:rsidP="00A4379C">
      <w:pPr>
        <w:spacing w:after="0" w:line="240" w:lineRule="auto"/>
        <w:jc w:val="center"/>
        <w:rPr>
          <w:rFonts w:ascii="Garamond" w:hAnsi="Garamond"/>
          <w:b/>
          <w:color w:val="1F497D" w:themeColor="text2"/>
          <w:sz w:val="20"/>
        </w:rPr>
      </w:pPr>
      <w:r w:rsidRPr="0028166E">
        <w:rPr>
          <w:rFonts w:ascii="Garamond" w:hAnsi="Garamond"/>
          <w:b/>
          <w:color w:val="1F497D" w:themeColor="text2"/>
          <w:sz w:val="20"/>
        </w:rPr>
        <w:t>May 12, 2016</w:t>
      </w:r>
    </w:p>
    <w:p w:rsidR="009D5F62" w:rsidRDefault="009D5F62" w:rsidP="009D5F62">
      <w:pPr>
        <w:spacing w:after="0" w:line="240" w:lineRule="auto"/>
        <w:rPr>
          <w:sz w:val="10"/>
        </w:rPr>
      </w:pPr>
    </w:p>
    <w:tbl>
      <w:tblPr>
        <w:tblStyle w:val="TableGrid"/>
        <w:tblpPr w:leftFromText="180" w:rightFromText="180" w:vertAnchor="text" w:horzAnchor="margin" w:tblpXSpec="center" w:tblpY="55"/>
        <w:tblW w:w="136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656"/>
        <w:gridCol w:w="1422"/>
        <w:gridCol w:w="1980"/>
        <w:gridCol w:w="5220"/>
        <w:gridCol w:w="1080"/>
        <w:gridCol w:w="1188"/>
        <w:gridCol w:w="1152"/>
      </w:tblGrid>
      <w:tr w:rsidR="00EF0CBA" w:rsidTr="0043082C">
        <w:tc>
          <w:tcPr>
            <w:tcW w:w="1656" w:type="dxa"/>
            <w:shd w:val="clear" w:color="auto" w:fill="C6D9F1" w:themeFill="text2" w:themeFillTint="33"/>
            <w:vAlign w:val="center"/>
          </w:tcPr>
          <w:p w:rsidR="00EF0CBA" w:rsidRPr="005F29A7" w:rsidRDefault="00EF0CBA" w:rsidP="00924811">
            <w:pPr>
              <w:jc w:val="center"/>
              <w:rPr>
                <w:rFonts w:ascii="Garamond" w:hAnsi="Garamond"/>
                <w:b/>
                <w:sz w:val="20"/>
              </w:rPr>
            </w:pPr>
            <w:r w:rsidRPr="005F29A7">
              <w:rPr>
                <w:rFonts w:ascii="Garamond" w:hAnsi="Garamond"/>
                <w:b/>
                <w:sz w:val="20"/>
              </w:rPr>
              <w:t>Org</w:t>
            </w:r>
            <w:r w:rsidR="00F10759">
              <w:rPr>
                <w:rFonts w:ascii="Garamond" w:hAnsi="Garamond"/>
                <w:b/>
                <w:sz w:val="20"/>
              </w:rPr>
              <w:t>anization</w:t>
            </w:r>
          </w:p>
        </w:tc>
        <w:tc>
          <w:tcPr>
            <w:tcW w:w="1422" w:type="dxa"/>
            <w:shd w:val="clear" w:color="auto" w:fill="C6D9F1" w:themeFill="text2" w:themeFillTint="33"/>
            <w:vAlign w:val="center"/>
          </w:tcPr>
          <w:p w:rsidR="00EF0CBA" w:rsidRPr="005F29A7" w:rsidRDefault="008F0719" w:rsidP="00924811">
            <w:pPr>
              <w:ind w:left="-108"/>
              <w:jc w:val="center"/>
              <w:rPr>
                <w:rFonts w:ascii="Garamond" w:hAnsi="Garamond"/>
                <w:b/>
                <w:sz w:val="20"/>
              </w:rPr>
            </w:pPr>
            <w:r>
              <w:rPr>
                <w:rFonts w:ascii="Garamond" w:hAnsi="Garamond"/>
                <w:b/>
                <w:sz w:val="20"/>
              </w:rPr>
              <w:t>Approach</w:t>
            </w:r>
          </w:p>
        </w:tc>
        <w:tc>
          <w:tcPr>
            <w:tcW w:w="1980" w:type="dxa"/>
            <w:shd w:val="clear" w:color="auto" w:fill="C6D9F1" w:themeFill="text2" w:themeFillTint="33"/>
            <w:vAlign w:val="center"/>
          </w:tcPr>
          <w:p w:rsidR="00EF0CBA" w:rsidRPr="005F29A7" w:rsidRDefault="00A4379C" w:rsidP="00644530">
            <w:pPr>
              <w:ind w:left="-108"/>
              <w:jc w:val="center"/>
              <w:rPr>
                <w:rFonts w:ascii="Garamond" w:hAnsi="Garamond"/>
                <w:b/>
                <w:sz w:val="20"/>
              </w:rPr>
            </w:pPr>
            <w:r>
              <w:rPr>
                <w:rFonts w:ascii="Garamond" w:hAnsi="Garamond"/>
                <w:b/>
                <w:sz w:val="20"/>
              </w:rPr>
              <w:t>Grant or Consultancy Name</w:t>
            </w:r>
          </w:p>
        </w:tc>
        <w:tc>
          <w:tcPr>
            <w:tcW w:w="5220" w:type="dxa"/>
            <w:shd w:val="clear" w:color="auto" w:fill="C6D9F1" w:themeFill="text2" w:themeFillTint="33"/>
            <w:vAlign w:val="center"/>
          </w:tcPr>
          <w:p w:rsidR="00EF0CBA" w:rsidRPr="005F29A7" w:rsidRDefault="00EF0CBA" w:rsidP="00924811">
            <w:pPr>
              <w:jc w:val="center"/>
              <w:rPr>
                <w:rFonts w:ascii="Garamond" w:hAnsi="Garamond"/>
                <w:b/>
                <w:sz w:val="20"/>
              </w:rPr>
            </w:pPr>
            <w:r w:rsidRPr="005F29A7">
              <w:rPr>
                <w:rFonts w:ascii="Garamond" w:hAnsi="Garamond"/>
                <w:b/>
                <w:sz w:val="20"/>
              </w:rPr>
              <w:t>Description</w:t>
            </w:r>
            <w:r>
              <w:rPr>
                <w:rFonts w:ascii="Garamond" w:hAnsi="Garamond"/>
                <w:b/>
                <w:sz w:val="20"/>
              </w:rPr>
              <w:t xml:space="preserve"> </w:t>
            </w:r>
          </w:p>
        </w:tc>
        <w:tc>
          <w:tcPr>
            <w:tcW w:w="1080" w:type="dxa"/>
            <w:shd w:val="clear" w:color="auto" w:fill="C6D9F1" w:themeFill="text2" w:themeFillTint="33"/>
            <w:vAlign w:val="center"/>
          </w:tcPr>
          <w:p w:rsidR="00EF0CBA" w:rsidRPr="005F29A7" w:rsidRDefault="00EF0CBA" w:rsidP="00924811">
            <w:pPr>
              <w:jc w:val="center"/>
              <w:rPr>
                <w:rFonts w:ascii="Garamond" w:hAnsi="Garamond"/>
                <w:b/>
                <w:sz w:val="20"/>
              </w:rPr>
            </w:pPr>
            <w:r w:rsidRPr="005F29A7">
              <w:rPr>
                <w:rFonts w:ascii="Garamond" w:hAnsi="Garamond"/>
                <w:b/>
                <w:sz w:val="20"/>
              </w:rPr>
              <w:t>Amount</w:t>
            </w:r>
          </w:p>
        </w:tc>
        <w:tc>
          <w:tcPr>
            <w:tcW w:w="1188" w:type="dxa"/>
            <w:shd w:val="clear" w:color="auto" w:fill="C6D9F1" w:themeFill="text2" w:themeFillTint="33"/>
            <w:vAlign w:val="center"/>
          </w:tcPr>
          <w:p w:rsidR="00EF0CBA" w:rsidRPr="005F29A7" w:rsidRDefault="00EF0CBA" w:rsidP="00924811">
            <w:pPr>
              <w:jc w:val="center"/>
              <w:rPr>
                <w:rFonts w:ascii="Garamond" w:hAnsi="Garamond"/>
                <w:b/>
                <w:sz w:val="20"/>
              </w:rPr>
            </w:pPr>
            <w:r w:rsidRPr="005F29A7">
              <w:rPr>
                <w:rFonts w:ascii="Garamond" w:hAnsi="Garamond"/>
                <w:b/>
                <w:sz w:val="20"/>
              </w:rPr>
              <w:t>Period</w:t>
            </w:r>
          </w:p>
        </w:tc>
        <w:tc>
          <w:tcPr>
            <w:tcW w:w="1152" w:type="dxa"/>
            <w:shd w:val="clear" w:color="auto" w:fill="C6D9F1" w:themeFill="text2" w:themeFillTint="33"/>
            <w:vAlign w:val="center"/>
          </w:tcPr>
          <w:p w:rsidR="00EF0CBA" w:rsidRPr="005F29A7" w:rsidRDefault="00EF0CBA" w:rsidP="00924811">
            <w:pPr>
              <w:jc w:val="center"/>
              <w:rPr>
                <w:rFonts w:ascii="Garamond" w:hAnsi="Garamond"/>
                <w:b/>
                <w:sz w:val="20"/>
              </w:rPr>
            </w:pPr>
            <w:r>
              <w:rPr>
                <w:rFonts w:ascii="Garamond" w:hAnsi="Garamond"/>
                <w:b/>
                <w:sz w:val="20"/>
              </w:rPr>
              <w:t>Geography of Work</w:t>
            </w:r>
          </w:p>
        </w:tc>
      </w:tr>
    </w:tbl>
    <w:p w:rsidR="009F4C28" w:rsidRPr="00A4379C" w:rsidRDefault="009F4C28" w:rsidP="009F4C28">
      <w:pPr>
        <w:spacing w:after="0" w:line="240" w:lineRule="auto"/>
        <w:rPr>
          <w:sz w:val="10"/>
        </w:rPr>
      </w:pPr>
    </w:p>
    <w:tbl>
      <w:tblPr>
        <w:tblStyle w:val="TableGrid"/>
        <w:tblpPr w:leftFromText="180" w:rightFromText="180" w:vertAnchor="text" w:horzAnchor="margin" w:tblpXSpec="center" w:tblpY="55"/>
        <w:tblW w:w="13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638"/>
        <w:gridCol w:w="11"/>
        <w:gridCol w:w="1416"/>
        <w:gridCol w:w="1993"/>
        <w:gridCol w:w="5266"/>
        <w:gridCol w:w="986"/>
        <w:gridCol w:w="1183"/>
        <w:gridCol w:w="1236"/>
      </w:tblGrid>
      <w:tr w:rsidR="00EF0CBA" w:rsidRPr="00E946AA" w:rsidTr="00DB0D18">
        <w:trPr>
          <w:trHeight w:val="468"/>
        </w:trPr>
        <w:tc>
          <w:tcPr>
            <w:tcW w:w="13729" w:type="dxa"/>
            <w:gridSpan w:val="8"/>
            <w:shd w:val="clear" w:color="auto" w:fill="F2F2F2" w:themeFill="background1" w:themeFillShade="F2"/>
          </w:tcPr>
          <w:p w:rsidR="005D311D" w:rsidRPr="005D311D" w:rsidRDefault="005D311D" w:rsidP="00924811">
            <w:pPr>
              <w:jc w:val="center"/>
              <w:rPr>
                <w:rFonts w:ascii="Garamond" w:hAnsi="Garamond"/>
                <w:b/>
                <w:color w:val="1F497D" w:themeColor="text2"/>
                <w:sz w:val="14"/>
              </w:rPr>
            </w:pPr>
          </w:p>
          <w:p w:rsidR="005D311D" w:rsidRDefault="003421D1" w:rsidP="005D311D">
            <w:pPr>
              <w:jc w:val="center"/>
              <w:rPr>
                <w:rFonts w:ascii="Garamond" w:hAnsi="Garamond"/>
                <w:b/>
                <w:color w:val="1F497D" w:themeColor="text2"/>
              </w:rPr>
            </w:pPr>
            <w:r>
              <w:rPr>
                <w:rFonts w:ascii="Garamond" w:hAnsi="Garamond"/>
                <w:b/>
                <w:color w:val="1F497D" w:themeColor="text2"/>
              </w:rPr>
              <w:t>Diversify and I</w:t>
            </w:r>
            <w:r w:rsidRPr="00EF3202">
              <w:rPr>
                <w:rFonts w:ascii="Garamond" w:hAnsi="Garamond"/>
                <w:b/>
                <w:color w:val="1F497D" w:themeColor="text2"/>
              </w:rPr>
              <w:t xml:space="preserve">ncrease </w:t>
            </w:r>
            <w:r>
              <w:rPr>
                <w:rFonts w:ascii="Garamond" w:hAnsi="Garamond"/>
                <w:b/>
                <w:color w:val="1F497D" w:themeColor="text2"/>
              </w:rPr>
              <w:t>the Regional Debate on the Evolution of D</w:t>
            </w:r>
            <w:r w:rsidRPr="00EF3202">
              <w:rPr>
                <w:rFonts w:ascii="Garamond" w:hAnsi="Garamond"/>
                <w:b/>
                <w:color w:val="1F497D" w:themeColor="text2"/>
              </w:rPr>
              <w:t xml:space="preserve">emocracy </w:t>
            </w:r>
            <w:r>
              <w:rPr>
                <w:rFonts w:ascii="Garamond" w:hAnsi="Garamond"/>
                <w:b/>
                <w:color w:val="1F497D" w:themeColor="text2"/>
              </w:rPr>
              <w:t>to R</w:t>
            </w:r>
            <w:r w:rsidRPr="00EF3202">
              <w:rPr>
                <w:rFonts w:ascii="Garamond" w:hAnsi="Garamond"/>
                <w:b/>
                <w:color w:val="1F497D" w:themeColor="text2"/>
              </w:rPr>
              <w:t>espond to 21</w:t>
            </w:r>
            <w:r w:rsidRPr="00EF3202">
              <w:rPr>
                <w:rFonts w:ascii="Garamond" w:hAnsi="Garamond"/>
                <w:b/>
                <w:color w:val="1F497D" w:themeColor="text2"/>
                <w:vertAlign w:val="superscript"/>
              </w:rPr>
              <w:t>st</w:t>
            </w:r>
            <w:r>
              <w:rPr>
                <w:rFonts w:ascii="Garamond" w:hAnsi="Garamond"/>
                <w:b/>
                <w:color w:val="1F497D" w:themeColor="text2"/>
              </w:rPr>
              <w:t xml:space="preserve"> Century S</w:t>
            </w:r>
            <w:r w:rsidRPr="00EF3202">
              <w:rPr>
                <w:rFonts w:ascii="Garamond" w:hAnsi="Garamond"/>
                <w:b/>
                <w:color w:val="1F497D" w:themeColor="text2"/>
              </w:rPr>
              <w:t>ocieties</w:t>
            </w:r>
          </w:p>
          <w:p w:rsidR="005D311D" w:rsidRPr="005D311D" w:rsidRDefault="005D311D" w:rsidP="005D311D">
            <w:pPr>
              <w:jc w:val="center"/>
              <w:rPr>
                <w:rFonts w:ascii="Garamond" w:hAnsi="Garamond"/>
                <w:b/>
                <w:color w:val="1F497D" w:themeColor="text2"/>
                <w:sz w:val="14"/>
              </w:rPr>
            </w:pPr>
          </w:p>
        </w:tc>
      </w:tr>
      <w:tr w:rsidR="00644530" w:rsidRPr="00A2543D" w:rsidTr="00DB0D18">
        <w:trPr>
          <w:trHeight w:val="164"/>
        </w:trPr>
        <w:tc>
          <w:tcPr>
            <w:tcW w:w="13729" w:type="dxa"/>
            <w:gridSpan w:val="8"/>
            <w:vAlign w:val="center"/>
          </w:tcPr>
          <w:p w:rsidR="00644530" w:rsidRPr="00745A4A" w:rsidRDefault="001952D1" w:rsidP="004F634A">
            <w:pPr>
              <w:rPr>
                <w:rFonts w:ascii="Garamond" w:hAnsi="Garamond"/>
                <w:b/>
                <w:i/>
                <w:sz w:val="18"/>
              </w:rPr>
            </w:pPr>
            <w:r w:rsidRPr="00745A4A">
              <w:rPr>
                <w:rFonts w:ascii="Garamond" w:hAnsi="Garamond"/>
                <w:b/>
                <w:i/>
                <w:color w:val="1F497D" w:themeColor="text2"/>
                <w:sz w:val="18"/>
              </w:rPr>
              <w:t>Consultancies and Convening</w:t>
            </w:r>
          </w:p>
        </w:tc>
      </w:tr>
      <w:tr w:rsidR="00A7176D" w:rsidRPr="00A2543D" w:rsidTr="0043082C">
        <w:trPr>
          <w:trHeight w:val="556"/>
        </w:trPr>
        <w:tc>
          <w:tcPr>
            <w:tcW w:w="1649" w:type="dxa"/>
            <w:gridSpan w:val="2"/>
            <w:vAlign w:val="center"/>
          </w:tcPr>
          <w:p w:rsidR="001952D1" w:rsidRPr="00745A4A" w:rsidRDefault="001952D1" w:rsidP="005D311D">
            <w:pPr>
              <w:rPr>
                <w:sz w:val="24"/>
              </w:rPr>
            </w:pPr>
            <w:r w:rsidRPr="00745A4A">
              <w:rPr>
                <w:sz w:val="18"/>
              </w:rPr>
              <w:t xml:space="preserve">Ford Foundation, Fundación Avina &amp; REOS Partners </w:t>
            </w:r>
          </w:p>
        </w:tc>
        <w:tc>
          <w:tcPr>
            <w:tcW w:w="1416" w:type="dxa"/>
            <w:vAlign w:val="center"/>
          </w:tcPr>
          <w:p w:rsidR="001952D1" w:rsidRPr="00116FF4" w:rsidRDefault="008F0719" w:rsidP="005D311D">
            <w:pPr>
              <w:rPr>
                <w:sz w:val="18"/>
              </w:rPr>
            </w:pPr>
            <w:r>
              <w:rPr>
                <w:sz w:val="18"/>
              </w:rPr>
              <w:t xml:space="preserve">Transformative Scenario Building Process </w:t>
            </w:r>
          </w:p>
        </w:tc>
        <w:tc>
          <w:tcPr>
            <w:tcW w:w="1993" w:type="dxa"/>
            <w:vAlign w:val="center"/>
          </w:tcPr>
          <w:p w:rsidR="001952D1" w:rsidRPr="00116FF4" w:rsidRDefault="001952D1" w:rsidP="00745A4A">
            <w:pPr>
              <w:rPr>
                <w:sz w:val="18"/>
              </w:rPr>
            </w:pPr>
            <w:r>
              <w:rPr>
                <w:sz w:val="18"/>
              </w:rPr>
              <w:t>Alerta Democratica</w:t>
            </w:r>
          </w:p>
        </w:tc>
        <w:tc>
          <w:tcPr>
            <w:tcW w:w="5266" w:type="dxa"/>
            <w:vAlign w:val="center"/>
          </w:tcPr>
          <w:p w:rsidR="001952D1" w:rsidRPr="00116FF4" w:rsidRDefault="00A4379C" w:rsidP="00CA6372">
            <w:pPr>
              <w:jc w:val="both"/>
              <w:rPr>
                <w:sz w:val="18"/>
              </w:rPr>
            </w:pPr>
            <w:r>
              <w:rPr>
                <w:sz w:val="18"/>
              </w:rPr>
              <w:t>Led</w:t>
            </w:r>
            <w:r w:rsidR="001952D1">
              <w:rPr>
                <w:sz w:val="18"/>
              </w:rPr>
              <w:t xml:space="preserve"> by </w:t>
            </w:r>
            <w:r w:rsidR="000C575A">
              <w:rPr>
                <w:sz w:val="18"/>
              </w:rPr>
              <w:t>OSF</w:t>
            </w:r>
            <w:r w:rsidR="001952D1" w:rsidRPr="00E2431E">
              <w:rPr>
                <w:sz w:val="18"/>
              </w:rPr>
              <w:t xml:space="preserve">, </w:t>
            </w:r>
            <w:r>
              <w:rPr>
                <w:sz w:val="18"/>
              </w:rPr>
              <w:t xml:space="preserve">the Avina and Ford Foundations </w:t>
            </w:r>
            <w:r w:rsidR="001952D1" w:rsidRPr="00E2431E">
              <w:rPr>
                <w:sz w:val="18"/>
              </w:rPr>
              <w:t>collaborated with Reos Partners Brazil to develop a set of scenarios for the future of democracy in Latin Ame</w:t>
            </w:r>
            <w:r w:rsidR="001952D1">
              <w:rPr>
                <w:sz w:val="18"/>
              </w:rPr>
              <w:t xml:space="preserve">rica. More information can be found </w:t>
            </w:r>
            <w:hyperlink r:id="rId9" w:history="1">
              <w:r w:rsidR="001952D1" w:rsidRPr="00E2431E">
                <w:rPr>
                  <w:rStyle w:val="Hyperlink"/>
                  <w:sz w:val="18"/>
                </w:rPr>
                <w:t>here</w:t>
              </w:r>
            </w:hyperlink>
            <w:r w:rsidR="001952D1">
              <w:rPr>
                <w:sz w:val="18"/>
              </w:rPr>
              <w:t>.</w:t>
            </w:r>
          </w:p>
        </w:tc>
        <w:tc>
          <w:tcPr>
            <w:tcW w:w="986" w:type="dxa"/>
            <w:vAlign w:val="center"/>
          </w:tcPr>
          <w:p w:rsidR="001952D1" w:rsidRPr="00116FF4" w:rsidRDefault="001952D1" w:rsidP="005D311D">
            <w:pPr>
              <w:rPr>
                <w:sz w:val="18"/>
              </w:rPr>
            </w:pPr>
            <w:r>
              <w:rPr>
                <w:sz w:val="18"/>
              </w:rPr>
              <w:t>$512,438</w:t>
            </w:r>
          </w:p>
        </w:tc>
        <w:tc>
          <w:tcPr>
            <w:tcW w:w="1183" w:type="dxa"/>
            <w:vAlign w:val="center"/>
          </w:tcPr>
          <w:p w:rsidR="001952D1" w:rsidRPr="00116FF4" w:rsidRDefault="001952D1" w:rsidP="005D311D">
            <w:pPr>
              <w:rPr>
                <w:sz w:val="18"/>
              </w:rPr>
            </w:pPr>
            <w:r w:rsidRPr="00116FF4">
              <w:rPr>
                <w:sz w:val="18"/>
              </w:rPr>
              <w:t>1 July 2014 – 1 December 2015</w:t>
            </w:r>
          </w:p>
        </w:tc>
        <w:tc>
          <w:tcPr>
            <w:tcW w:w="1236" w:type="dxa"/>
            <w:vAlign w:val="center"/>
          </w:tcPr>
          <w:p w:rsidR="001952D1" w:rsidRPr="00116FF4" w:rsidRDefault="001952D1" w:rsidP="005D311D">
            <w:pPr>
              <w:rPr>
                <w:sz w:val="18"/>
              </w:rPr>
            </w:pPr>
            <w:r w:rsidRPr="00116FF4">
              <w:rPr>
                <w:sz w:val="18"/>
              </w:rPr>
              <w:t>Regional</w:t>
            </w:r>
          </w:p>
        </w:tc>
      </w:tr>
      <w:tr w:rsidR="00A7176D" w:rsidRPr="00A2543D" w:rsidTr="0043082C">
        <w:trPr>
          <w:trHeight w:val="733"/>
        </w:trPr>
        <w:tc>
          <w:tcPr>
            <w:tcW w:w="1649" w:type="dxa"/>
            <w:gridSpan w:val="2"/>
            <w:vAlign w:val="center"/>
          </w:tcPr>
          <w:p w:rsidR="001952D1" w:rsidRPr="00745A4A" w:rsidRDefault="001952D1" w:rsidP="005D311D">
            <w:pPr>
              <w:rPr>
                <w:sz w:val="18"/>
                <w:lang w:val="pt-BR"/>
              </w:rPr>
            </w:pPr>
            <w:r w:rsidRPr="00745A4A">
              <w:rPr>
                <w:sz w:val="18"/>
                <w:lang w:val="pt-BR"/>
              </w:rPr>
              <w:t>Instituto Arapyaú, Cause &amp; Gestao de Interesse Publico</w:t>
            </w:r>
          </w:p>
        </w:tc>
        <w:tc>
          <w:tcPr>
            <w:tcW w:w="1416" w:type="dxa"/>
            <w:vAlign w:val="center"/>
          </w:tcPr>
          <w:p w:rsidR="001952D1" w:rsidRPr="000B204C" w:rsidRDefault="005D311D" w:rsidP="005D311D">
            <w:pPr>
              <w:rPr>
                <w:sz w:val="18"/>
              </w:rPr>
            </w:pPr>
            <w:r>
              <w:rPr>
                <w:sz w:val="18"/>
              </w:rPr>
              <w:t xml:space="preserve">Targeted Research: </w:t>
            </w:r>
            <w:r w:rsidR="000B204C" w:rsidRPr="000B204C">
              <w:rPr>
                <w:sz w:val="18"/>
              </w:rPr>
              <w:t>Tools for Reformers and Activist</w:t>
            </w:r>
            <w:r w:rsidR="000B204C">
              <w:rPr>
                <w:sz w:val="18"/>
              </w:rPr>
              <w:t>s</w:t>
            </w:r>
          </w:p>
        </w:tc>
        <w:tc>
          <w:tcPr>
            <w:tcW w:w="1993" w:type="dxa"/>
            <w:vAlign w:val="center"/>
          </w:tcPr>
          <w:p w:rsidR="001952D1" w:rsidRDefault="001952D1" w:rsidP="00745A4A">
            <w:pPr>
              <w:rPr>
                <w:sz w:val="18"/>
                <w:lang w:val="pt-BR"/>
              </w:rPr>
            </w:pPr>
            <w:r>
              <w:rPr>
                <w:sz w:val="18"/>
                <w:lang w:val="pt-BR"/>
              </w:rPr>
              <w:t>Democratic Innovation</w:t>
            </w:r>
          </w:p>
        </w:tc>
        <w:tc>
          <w:tcPr>
            <w:tcW w:w="5266" w:type="dxa"/>
            <w:vAlign w:val="center"/>
          </w:tcPr>
          <w:p w:rsidR="001952D1" w:rsidRPr="00571039" w:rsidRDefault="00A4379C" w:rsidP="00CA6372">
            <w:pPr>
              <w:jc w:val="both"/>
              <w:rPr>
                <w:b/>
                <w:sz w:val="18"/>
                <w:szCs w:val="18"/>
              </w:rPr>
            </w:pPr>
            <w:r w:rsidRPr="00A4379C">
              <w:rPr>
                <w:sz w:val="18"/>
                <w:szCs w:val="18"/>
              </w:rPr>
              <w:t xml:space="preserve">LAP partnered with </w:t>
            </w:r>
            <w:r w:rsidR="001952D1" w:rsidRPr="00663C6F">
              <w:rPr>
                <w:sz w:val="18"/>
                <w:szCs w:val="18"/>
              </w:rPr>
              <w:t xml:space="preserve">Brazilian </w:t>
            </w:r>
            <w:r w:rsidR="001952D1">
              <w:rPr>
                <w:sz w:val="18"/>
                <w:szCs w:val="18"/>
              </w:rPr>
              <w:t xml:space="preserve">private </w:t>
            </w:r>
            <w:r w:rsidR="001952D1" w:rsidRPr="00663C6F">
              <w:rPr>
                <w:sz w:val="18"/>
                <w:szCs w:val="18"/>
              </w:rPr>
              <w:t xml:space="preserve">donors to </w:t>
            </w:r>
            <w:r w:rsidR="008F0719">
              <w:rPr>
                <w:sz w:val="18"/>
                <w:szCs w:val="18"/>
              </w:rPr>
              <w:t>m</w:t>
            </w:r>
            <w:r w:rsidR="008F0719" w:rsidRPr="00663C6F">
              <w:rPr>
                <w:sz w:val="18"/>
                <w:szCs w:val="18"/>
              </w:rPr>
              <w:t>ap the field</w:t>
            </w:r>
            <w:r w:rsidR="008F0719">
              <w:rPr>
                <w:sz w:val="18"/>
                <w:szCs w:val="18"/>
              </w:rPr>
              <w:t xml:space="preserve"> in Brazil and</w:t>
            </w:r>
            <w:r w:rsidR="008F0719" w:rsidRPr="00663C6F">
              <w:rPr>
                <w:sz w:val="18"/>
                <w:szCs w:val="18"/>
              </w:rPr>
              <w:t xml:space="preserve"> </w:t>
            </w:r>
            <w:r>
              <w:rPr>
                <w:sz w:val="18"/>
                <w:szCs w:val="18"/>
              </w:rPr>
              <w:t xml:space="preserve">expand the number of </w:t>
            </w:r>
            <w:r w:rsidR="001952D1">
              <w:rPr>
                <w:sz w:val="18"/>
                <w:szCs w:val="18"/>
              </w:rPr>
              <w:t>philanthropist</w:t>
            </w:r>
            <w:r>
              <w:rPr>
                <w:sz w:val="18"/>
                <w:szCs w:val="18"/>
              </w:rPr>
              <w:t>s</w:t>
            </w:r>
            <w:r w:rsidR="001952D1">
              <w:rPr>
                <w:sz w:val="18"/>
                <w:szCs w:val="18"/>
              </w:rPr>
              <w:t xml:space="preserve"> and foundations </w:t>
            </w:r>
            <w:r w:rsidR="001952D1" w:rsidRPr="00663C6F">
              <w:rPr>
                <w:sz w:val="18"/>
                <w:szCs w:val="18"/>
              </w:rPr>
              <w:t xml:space="preserve">interested in </w:t>
            </w:r>
            <w:r w:rsidR="00B7111A">
              <w:rPr>
                <w:sz w:val="18"/>
                <w:szCs w:val="18"/>
              </w:rPr>
              <w:t>the field of democratic</w:t>
            </w:r>
            <w:r w:rsidR="000B0C46">
              <w:rPr>
                <w:sz w:val="18"/>
                <w:szCs w:val="18"/>
              </w:rPr>
              <w:t xml:space="preserve"> practice and innovation</w:t>
            </w:r>
            <w:r w:rsidR="001952D1" w:rsidRPr="00663C6F">
              <w:rPr>
                <w:sz w:val="18"/>
                <w:szCs w:val="18"/>
              </w:rPr>
              <w:t xml:space="preserve">.  </w:t>
            </w:r>
          </w:p>
        </w:tc>
        <w:tc>
          <w:tcPr>
            <w:tcW w:w="986" w:type="dxa"/>
            <w:vAlign w:val="center"/>
          </w:tcPr>
          <w:p w:rsidR="001952D1" w:rsidRPr="003421D1" w:rsidRDefault="001952D1" w:rsidP="005D311D">
            <w:pPr>
              <w:rPr>
                <w:sz w:val="18"/>
              </w:rPr>
            </w:pPr>
            <w:r>
              <w:rPr>
                <w:sz w:val="18"/>
              </w:rPr>
              <w:t>$10,000</w:t>
            </w:r>
          </w:p>
        </w:tc>
        <w:tc>
          <w:tcPr>
            <w:tcW w:w="1183" w:type="dxa"/>
            <w:vAlign w:val="center"/>
          </w:tcPr>
          <w:p w:rsidR="001952D1" w:rsidRPr="00330673" w:rsidRDefault="001952D1" w:rsidP="005D311D">
            <w:pPr>
              <w:rPr>
                <w:sz w:val="18"/>
              </w:rPr>
            </w:pPr>
            <w:r>
              <w:rPr>
                <w:sz w:val="18"/>
              </w:rPr>
              <w:t>1 April 2015-Ongoing</w:t>
            </w:r>
          </w:p>
        </w:tc>
        <w:tc>
          <w:tcPr>
            <w:tcW w:w="1236" w:type="dxa"/>
            <w:vAlign w:val="center"/>
          </w:tcPr>
          <w:p w:rsidR="001952D1" w:rsidRDefault="001952D1" w:rsidP="005D311D">
            <w:pPr>
              <w:rPr>
                <w:sz w:val="18"/>
              </w:rPr>
            </w:pPr>
            <w:r>
              <w:rPr>
                <w:sz w:val="18"/>
              </w:rPr>
              <w:t>Brazil</w:t>
            </w:r>
          </w:p>
        </w:tc>
      </w:tr>
      <w:tr w:rsidR="001952D1" w:rsidRPr="00A2543D" w:rsidTr="00DB0D18">
        <w:trPr>
          <w:trHeight w:val="164"/>
        </w:trPr>
        <w:tc>
          <w:tcPr>
            <w:tcW w:w="13729" w:type="dxa"/>
            <w:gridSpan w:val="8"/>
            <w:vAlign w:val="center"/>
          </w:tcPr>
          <w:p w:rsidR="001952D1" w:rsidRPr="00745A4A" w:rsidRDefault="001952D1" w:rsidP="00CA6372">
            <w:pPr>
              <w:jc w:val="both"/>
              <w:rPr>
                <w:rFonts w:ascii="Garamond" w:hAnsi="Garamond"/>
                <w:b/>
                <w:i/>
                <w:sz w:val="18"/>
              </w:rPr>
            </w:pPr>
            <w:r w:rsidRPr="00745A4A">
              <w:rPr>
                <w:rFonts w:ascii="Garamond" w:hAnsi="Garamond"/>
                <w:b/>
                <w:i/>
                <w:color w:val="1F497D" w:themeColor="text2"/>
                <w:sz w:val="18"/>
              </w:rPr>
              <w:t>Grants</w:t>
            </w:r>
          </w:p>
        </w:tc>
      </w:tr>
      <w:tr w:rsidR="00DB0D18" w:rsidRPr="006336CC" w:rsidTr="0043082C">
        <w:trPr>
          <w:trHeight w:val="1113"/>
        </w:trPr>
        <w:tc>
          <w:tcPr>
            <w:tcW w:w="1638" w:type="dxa"/>
            <w:vAlign w:val="center"/>
          </w:tcPr>
          <w:p w:rsidR="00EF0CBA" w:rsidRPr="00745A4A" w:rsidRDefault="00EF0CBA" w:rsidP="005D311D">
            <w:pPr>
              <w:rPr>
                <w:sz w:val="18"/>
                <w:szCs w:val="18"/>
                <w:lang w:val="pt-BR"/>
              </w:rPr>
            </w:pPr>
            <w:r w:rsidRPr="00745A4A">
              <w:rPr>
                <w:sz w:val="18"/>
                <w:szCs w:val="18"/>
                <w:lang w:val="pt-BR"/>
              </w:rPr>
              <w:t xml:space="preserve">Fundação Instituto Fernando Henrique Cardoso </w:t>
            </w:r>
          </w:p>
        </w:tc>
        <w:tc>
          <w:tcPr>
            <w:tcW w:w="1427" w:type="dxa"/>
            <w:gridSpan w:val="2"/>
            <w:vAlign w:val="center"/>
          </w:tcPr>
          <w:p w:rsidR="00EF0CBA" w:rsidRPr="0048489B" w:rsidRDefault="008F0719" w:rsidP="005D311D">
            <w:pPr>
              <w:rPr>
                <w:sz w:val="18"/>
                <w:szCs w:val="18"/>
              </w:rPr>
            </w:pPr>
            <w:r w:rsidRPr="0048489B">
              <w:rPr>
                <w:sz w:val="18"/>
              </w:rPr>
              <w:t>Targeted Research</w:t>
            </w:r>
            <w:r w:rsidR="005D311D">
              <w:rPr>
                <w:sz w:val="18"/>
              </w:rPr>
              <w:t xml:space="preserve">: </w:t>
            </w:r>
            <w:r w:rsidR="0048489B" w:rsidRPr="0048489B">
              <w:rPr>
                <w:sz w:val="18"/>
              </w:rPr>
              <w:t>Tools for Reformers and Activist</w:t>
            </w:r>
            <w:r w:rsidR="000B204C">
              <w:rPr>
                <w:sz w:val="18"/>
              </w:rPr>
              <w:t>s</w:t>
            </w:r>
          </w:p>
        </w:tc>
        <w:tc>
          <w:tcPr>
            <w:tcW w:w="1993" w:type="dxa"/>
            <w:vAlign w:val="center"/>
          </w:tcPr>
          <w:p w:rsidR="00EF0CBA" w:rsidRPr="00785B9F" w:rsidRDefault="00EF0CBA" w:rsidP="00745A4A">
            <w:pPr>
              <w:rPr>
                <w:sz w:val="18"/>
                <w:szCs w:val="18"/>
              </w:rPr>
            </w:pPr>
            <w:r w:rsidRPr="00785B9F">
              <w:rPr>
                <w:sz w:val="18"/>
                <w:szCs w:val="18"/>
              </w:rPr>
              <w:t>The Changing Structure of the Public Sphere &amp; the Challenges to Civil Society in Latin America</w:t>
            </w:r>
          </w:p>
        </w:tc>
        <w:tc>
          <w:tcPr>
            <w:tcW w:w="5266" w:type="dxa"/>
            <w:vAlign w:val="center"/>
          </w:tcPr>
          <w:p w:rsidR="00EF0CBA" w:rsidRPr="00785B9F" w:rsidRDefault="00CA3159" w:rsidP="00287936">
            <w:pPr>
              <w:jc w:val="both"/>
              <w:rPr>
                <w:sz w:val="18"/>
                <w:szCs w:val="18"/>
              </w:rPr>
            </w:pPr>
            <w:r>
              <w:rPr>
                <w:sz w:val="18"/>
                <w:szCs w:val="18"/>
              </w:rPr>
              <w:t>T</w:t>
            </w:r>
            <w:r w:rsidR="00EF0CBA">
              <w:rPr>
                <w:sz w:val="18"/>
                <w:szCs w:val="18"/>
              </w:rPr>
              <w:t>o a</w:t>
            </w:r>
            <w:r w:rsidR="00EF0CBA" w:rsidRPr="00785B9F">
              <w:rPr>
                <w:sz w:val="18"/>
                <w:szCs w:val="18"/>
              </w:rPr>
              <w:t>nalyze lessons learned from experiences of cyber activism in order to promote a public debate on the challenges posed by th</w:t>
            </w:r>
            <w:r w:rsidR="000B0C46">
              <w:rPr>
                <w:sz w:val="18"/>
                <w:szCs w:val="18"/>
              </w:rPr>
              <w:t xml:space="preserve">e increasing role of internet and social media </w:t>
            </w:r>
            <w:r w:rsidR="00EF0CBA" w:rsidRPr="00785B9F">
              <w:rPr>
                <w:sz w:val="18"/>
                <w:szCs w:val="18"/>
              </w:rPr>
              <w:t xml:space="preserve">in shaping the public sphere, citizen participation, political institutions, and democratic governance in Argentina, </w:t>
            </w:r>
            <w:r w:rsidR="00EF0CBA">
              <w:rPr>
                <w:sz w:val="18"/>
                <w:szCs w:val="18"/>
              </w:rPr>
              <w:t xml:space="preserve">Brazil, </w:t>
            </w:r>
            <w:r w:rsidR="00EF0CBA" w:rsidRPr="00785B9F">
              <w:rPr>
                <w:sz w:val="18"/>
                <w:szCs w:val="18"/>
              </w:rPr>
              <w:t>Chile</w:t>
            </w:r>
            <w:r w:rsidR="00EF0CBA">
              <w:rPr>
                <w:sz w:val="18"/>
                <w:szCs w:val="18"/>
              </w:rPr>
              <w:t>, Colombia, Ecuador and Venezuela</w:t>
            </w:r>
            <w:r w:rsidR="00EF0CBA" w:rsidRPr="00785B9F">
              <w:rPr>
                <w:sz w:val="18"/>
                <w:szCs w:val="18"/>
              </w:rPr>
              <w:t>.</w:t>
            </w:r>
          </w:p>
        </w:tc>
        <w:tc>
          <w:tcPr>
            <w:tcW w:w="986" w:type="dxa"/>
            <w:vAlign w:val="center"/>
          </w:tcPr>
          <w:p w:rsidR="00EF0CBA" w:rsidRPr="00A2543D" w:rsidRDefault="00EF0CBA" w:rsidP="005D311D">
            <w:pPr>
              <w:rPr>
                <w:sz w:val="18"/>
                <w:szCs w:val="18"/>
              </w:rPr>
            </w:pPr>
            <w:r>
              <w:rPr>
                <w:sz w:val="18"/>
                <w:szCs w:val="18"/>
              </w:rPr>
              <w:t>$111,220</w:t>
            </w:r>
          </w:p>
        </w:tc>
        <w:tc>
          <w:tcPr>
            <w:tcW w:w="1183" w:type="dxa"/>
            <w:vAlign w:val="center"/>
          </w:tcPr>
          <w:p w:rsidR="00EF0CBA" w:rsidRPr="00A2543D" w:rsidRDefault="00EF0CBA" w:rsidP="005D311D">
            <w:pPr>
              <w:rPr>
                <w:sz w:val="18"/>
              </w:rPr>
            </w:pPr>
            <w:r w:rsidRPr="00A2543D">
              <w:rPr>
                <w:sz w:val="18"/>
              </w:rPr>
              <w:t>1 June 2015 - 31 May 2016</w:t>
            </w:r>
          </w:p>
        </w:tc>
        <w:tc>
          <w:tcPr>
            <w:tcW w:w="1236" w:type="dxa"/>
            <w:vAlign w:val="center"/>
          </w:tcPr>
          <w:p w:rsidR="00EF0CBA" w:rsidRPr="009D5F62" w:rsidRDefault="00EF0CBA" w:rsidP="005D311D">
            <w:pPr>
              <w:rPr>
                <w:sz w:val="18"/>
                <w:lang w:val="es-ES_tradnl"/>
              </w:rPr>
            </w:pPr>
            <w:r w:rsidRPr="009D5F62">
              <w:rPr>
                <w:sz w:val="18"/>
                <w:szCs w:val="18"/>
                <w:lang w:val="es-ES_tradnl"/>
              </w:rPr>
              <w:t>Argentina, Brazil, Chile, Colombia, Ecuador and Venezuela</w:t>
            </w:r>
          </w:p>
        </w:tc>
      </w:tr>
      <w:tr w:rsidR="00DB0D18" w:rsidTr="0043082C">
        <w:trPr>
          <w:trHeight w:val="733"/>
        </w:trPr>
        <w:tc>
          <w:tcPr>
            <w:tcW w:w="1638" w:type="dxa"/>
            <w:vAlign w:val="center"/>
          </w:tcPr>
          <w:p w:rsidR="00EF0CBA" w:rsidRPr="00745A4A" w:rsidRDefault="00EF0CBA" w:rsidP="005D311D">
            <w:pPr>
              <w:rPr>
                <w:sz w:val="18"/>
                <w:szCs w:val="18"/>
              </w:rPr>
            </w:pPr>
            <w:r w:rsidRPr="00745A4A">
              <w:rPr>
                <w:sz w:val="18"/>
                <w:szCs w:val="18"/>
              </w:rPr>
              <w:t>Governing Council of the University of Toronto</w:t>
            </w:r>
          </w:p>
        </w:tc>
        <w:tc>
          <w:tcPr>
            <w:tcW w:w="1427" w:type="dxa"/>
            <w:gridSpan w:val="2"/>
            <w:vAlign w:val="center"/>
          </w:tcPr>
          <w:p w:rsidR="00EF0CBA" w:rsidRPr="00B178EA" w:rsidRDefault="0048489B" w:rsidP="005D311D">
            <w:pPr>
              <w:rPr>
                <w:sz w:val="18"/>
                <w:szCs w:val="18"/>
              </w:rPr>
            </w:pPr>
            <w:r w:rsidRPr="0048489B">
              <w:rPr>
                <w:sz w:val="18"/>
              </w:rPr>
              <w:t>Targeted Research</w:t>
            </w:r>
            <w:r w:rsidR="005D311D">
              <w:rPr>
                <w:sz w:val="18"/>
              </w:rPr>
              <w:t xml:space="preserve">: </w:t>
            </w:r>
            <w:r w:rsidRPr="0048489B">
              <w:rPr>
                <w:sz w:val="18"/>
              </w:rPr>
              <w:t>Tools for Reformers and Activist</w:t>
            </w:r>
            <w:r w:rsidR="000B204C">
              <w:rPr>
                <w:sz w:val="18"/>
              </w:rPr>
              <w:t>s</w:t>
            </w:r>
          </w:p>
        </w:tc>
        <w:tc>
          <w:tcPr>
            <w:tcW w:w="1993" w:type="dxa"/>
            <w:vAlign w:val="center"/>
          </w:tcPr>
          <w:p w:rsidR="00EF0CBA" w:rsidRPr="00B178EA" w:rsidRDefault="00EF0CBA" w:rsidP="00745A4A">
            <w:pPr>
              <w:rPr>
                <w:sz w:val="18"/>
                <w:szCs w:val="18"/>
              </w:rPr>
            </w:pPr>
            <w:r w:rsidRPr="00B178EA">
              <w:rPr>
                <w:sz w:val="18"/>
                <w:szCs w:val="18"/>
              </w:rPr>
              <w:t>Commission for Democracy in LA- First Phase</w:t>
            </w:r>
          </w:p>
        </w:tc>
        <w:tc>
          <w:tcPr>
            <w:tcW w:w="5266" w:type="dxa"/>
            <w:vAlign w:val="center"/>
          </w:tcPr>
          <w:p w:rsidR="00EF0CBA" w:rsidRPr="00B178EA" w:rsidRDefault="00CA3159" w:rsidP="00287936">
            <w:pPr>
              <w:jc w:val="both"/>
              <w:rPr>
                <w:sz w:val="18"/>
                <w:szCs w:val="18"/>
              </w:rPr>
            </w:pPr>
            <w:r>
              <w:rPr>
                <w:sz w:val="18"/>
                <w:szCs w:val="18"/>
              </w:rPr>
              <w:t>T</w:t>
            </w:r>
            <w:r w:rsidR="00EF0CBA">
              <w:rPr>
                <w:sz w:val="18"/>
                <w:szCs w:val="18"/>
              </w:rPr>
              <w:t>o s</w:t>
            </w:r>
            <w:r w:rsidR="00EF0CBA" w:rsidRPr="009E1BC3">
              <w:rPr>
                <w:sz w:val="18"/>
                <w:szCs w:val="18"/>
              </w:rPr>
              <w:t>upport a broader discussion on how the region’s premi</w:t>
            </w:r>
            <w:r w:rsidR="000C575A">
              <w:rPr>
                <w:sz w:val="18"/>
                <w:szCs w:val="18"/>
              </w:rPr>
              <w:t>er experts on democracy can better</w:t>
            </w:r>
            <w:r w:rsidR="00EF0CBA" w:rsidRPr="009E1BC3">
              <w:rPr>
                <w:sz w:val="18"/>
                <w:szCs w:val="18"/>
              </w:rPr>
              <w:t xml:space="preserve"> address Latin America’s democratic challenges and reinf</w:t>
            </w:r>
            <w:r w:rsidR="000C575A">
              <w:rPr>
                <w:sz w:val="18"/>
                <w:szCs w:val="18"/>
              </w:rPr>
              <w:t>orce its capacity for</w:t>
            </w:r>
            <w:r w:rsidR="00EF0CBA" w:rsidRPr="009E1BC3">
              <w:rPr>
                <w:sz w:val="18"/>
                <w:szCs w:val="18"/>
              </w:rPr>
              <w:t xml:space="preserve"> innovation</w:t>
            </w:r>
            <w:r w:rsidR="000C575A">
              <w:rPr>
                <w:sz w:val="18"/>
                <w:szCs w:val="18"/>
              </w:rPr>
              <w:t xml:space="preserve"> in the 21</w:t>
            </w:r>
            <w:r w:rsidR="000C575A" w:rsidRPr="000C575A">
              <w:rPr>
                <w:sz w:val="18"/>
                <w:szCs w:val="18"/>
                <w:vertAlign w:val="superscript"/>
              </w:rPr>
              <w:t>st</w:t>
            </w:r>
            <w:r w:rsidR="000C575A">
              <w:rPr>
                <w:sz w:val="18"/>
                <w:szCs w:val="18"/>
              </w:rPr>
              <w:t xml:space="preserve"> Century</w:t>
            </w:r>
            <w:r w:rsidR="00EF0CBA" w:rsidRPr="009E1BC3">
              <w:rPr>
                <w:sz w:val="18"/>
                <w:szCs w:val="18"/>
              </w:rPr>
              <w:t xml:space="preserve">.  </w:t>
            </w:r>
          </w:p>
        </w:tc>
        <w:tc>
          <w:tcPr>
            <w:tcW w:w="986" w:type="dxa"/>
            <w:vAlign w:val="center"/>
          </w:tcPr>
          <w:p w:rsidR="00EF0CBA" w:rsidRPr="00B178EA" w:rsidRDefault="00EF0CBA" w:rsidP="005D311D">
            <w:pPr>
              <w:rPr>
                <w:sz w:val="18"/>
                <w:szCs w:val="18"/>
              </w:rPr>
            </w:pPr>
            <w:r w:rsidRPr="00B178EA">
              <w:rPr>
                <w:sz w:val="18"/>
                <w:szCs w:val="18"/>
              </w:rPr>
              <w:t xml:space="preserve">$45,980 </w:t>
            </w:r>
          </w:p>
        </w:tc>
        <w:tc>
          <w:tcPr>
            <w:tcW w:w="1183" w:type="dxa"/>
            <w:vAlign w:val="center"/>
          </w:tcPr>
          <w:p w:rsidR="00EF0CBA" w:rsidRPr="00B178EA" w:rsidRDefault="00EF0CBA" w:rsidP="005D311D">
            <w:pPr>
              <w:rPr>
                <w:sz w:val="18"/>
                <w:szCs w:val="18"/>
              </w:rPr>
            </w:pPr>
            <w:r w:rsidRPr="00B178EA">
              <w:rPr>
                <w:sz w:val="18"/>
                <w:szCs w:val="18"/>
              </w:rPr>
              <w:t>1 January 2015 - 31 January 2015</w:t>
            </w:r>
          </w:p>
        </w:tc>
        <w:tc>
          <w:tcPr>
            <w:tcW w:w="1236" w:type="dxa"/>
            <w:vAlign w:val="center"/>
          </w:tcPr>
          <w:p w:rsidR="00EF0CBA" w:rsidRPr="00B178EA" w:rsidRDefault="00EF0CBA" w:rsidP="005D311D">
            <w:pPr>
              <w:rPr>
                <w:sz w:val="18"/>
                <w:szCs w:val="18"/>
              </w:rPr>
            </w:pPr>
            <w:r w:rsidRPr="00B178EA">
              <w:rPr>
                <w:sz w:val="18"/>
                <w:szCs w:val="18"/>
              </w:rPr>
              <w:t>Regional</w:t>
            </w:r>
          </w:p>
        </w:tc>
      </w:tr>
      <w:tr w:rsidR="00DB0D18" w:rsidTr="0043082C">
        <w:trPr>
          <w:trHeight w:val="1113"/>
        </w:trPr>
        <w:tc>
          <w:tcPr>
            <w:tcW w:w="1638" w:type="dxa"/>
            <w:vAlign w:val="center"/>
          </w:tcPr>
          <w:p w:rsidR="00EF0CBA" w:rsidRPr="00745A4A" w:rsidRDefault="00EF0CBA" w:rsidP="005D311D">
            <w:pPr>
              <w:rPr>
                <w:sz w:val="18"/>
                <w:lang w:val="pt-BR"/>
              </w:rPr>
            </w:pPr>
            <w:r w:rsidRPr="00745A4A">
              <w:rPr>
                <w:sz w:val="18"/>
                <w:lang w:val="pt-BR"/>
              </w:rPr>
              <w:t>Instituto Sincronicidade Para a Interação Social</w:t>
            </w:r>
          </w:p>
        </w:tc>
        <w:tc>
          <w:tcPr>
            <w:tcW w:w="1427" w:type="dxa"/>
            <w:gridSpan w:val="2"/>
            <w:vAlign w:val="center"/>
          </w:tcPr>
          <w:p w:rsidR="00EF0CBA" w:rsidRPr="0048489B" w:rsidRDefault="005D311D" w:rsidP="005D311D">
            <w:pPr>
              <w:rPr>
                <w:sz w:val="18"/>
              </w:rPr>
            </w:pPr>
            <w:r>
              <w:rPr>
                <w:sz w:val="18"/>
              </w:rPr>
              <w:t xml:space="preserve">Targeted Research: </w:t>
            </w:r>
            <w:r w:rsidR="0048489B" w:rsidRPr="0048489B">
              <w:rPr>
                <w:sz w:val="18"/>
              </w:rPr>
              <w:t>Tools for Reformers and Activist</w:t>
            </w:r>
            <w:r w:rsidR="000B204C">
              <w:rPr>
                <w:sz w:val="18"/>
              </w:rPr>
              <w:t>s</w:t>
            </w:r>
          </w:p>
        </w:tc>
        <w:tc>
          <w:tcPr>
            <w:tcW w:w="1993" w:type="dxa"/>
            <w:vAlign w:val="center"/>
          </w:tcPr>
          <w:p w:rsidR="00EF0CBA" w:rsidRPr="00330673" w:rsidRDefault="00EF0CBA" w:rsidP="00745A4A">
            <w:pPr>
              <w:rPr>
                <w:sz w:val="18"/>
                <w:lang w:val="pt-BR"/>
              </w:rPr>
            </w:pPr>
            <w:r>
              <w:rPr>
                <w:sz w:val="18"/>
                <w:lang w:val="pt-BR"/>
              </w:rPr>
              <w:t>Update Politics</w:t>
            </w:r>
          </w:p>
        </w:tc>
        <w:tc>
          <w:tcPr>
            <w:tcW w:w="5266" w:type="dxa"/>
            <w:vAlign w:val="center"/>
          </w:tcPr>
          <w:p w:rsidR="00EF0CBA" w:rsidRPr="002B4B16" w:rsidRDefault="00CA3159" w:rsidP="00287936">
            <w:pPr>
              <w:jc w:val="both"/>
              <w:rPr>
                <w:sz w:val="18"/>
                <w:szCs w:val="18"/>
              </w:rPr>
            </w:pPr>
            <w:r w:rsidRPr="00CA3159">
              <w:rPr>
                <w:sz w:val="18"/>
                <w:szCs w:val="18"/>
              </w:rPr>
              <w:t>T</w:t>
            </w:r>
            <w:r w:rsidR="00EF0CBA" w:rsidRPr="00924811">
              <w:rPr>
                <w:sz w:val="18"/>
                <w:szCs w:val="18"/>
              </w:rPr>
              <w:t>o c</w:t>
            </w:r>
            <w:r w:rsidR="00EF0CBA" w:rsidRPr="002B4B16">
              <w:rPr>
                <w:sz w:val="18"/>
                <w:szCs w:val="18"/>
              </w:rPr>
              <w:t xml:space="preserve">onduct a mapping process to understand </w:t>
            </w:r>
            <w:r>
              <w:rPr>
                <w:sz w:val="18"/>
                <w:szCs w:val="18"/>
              </w:rPr>
              <w:t>the Brazilian ecosystem of political</w:t>
            </w:r>
            <w:r w:rsidR="00EF0CBA" w:rsidRPr="002B4B16">
              <w:rPr>
                <w:sz w:val="18"/>
                <w:szCs w:val="18"/>
              </w:rPr>
              <w:t xml:space="preserve"> hackers</w:t>
            </w:r>
            <w:r w:rsidR="00EF0CBA">
              <w:rPr>
                <w:sz w:val="18"/>
                <w:szCs w:val="18"/>
              </w:rPr>
              <w:t>, an initiative</w:t>
            </w:r>
            <w:r w:rsidR="00EF0CBA" w:rsidRPr="002B4B16">
              <w:rPr>
                <w:sz w:val="18"/>
                <w:szCs w:val="18"/>
              </w:rPr>
              <w:t xml:space="preserve"> to create a space for recognition and reflection of emerging political practices, where political </w:t>
            </w:r>
            <w:r>
              <w:rPr>
                <w:sz w:val="18"/>
                <w:szCs w:val="18"/>
              </w:rPr>
              <w:t>activist</w:t>
            </w:r>
            <w:r w:rsidR="00A4379C">
              <w:rPr>
                <w:sz w:val="18"/>
                <w:szCs w:val="18"/>
              </w:rPr>
              <w:t>s</w:t>
            </w:r>
            <w:r>
              <w:rPr>
                <w:sz w:val="18"/>
                <w:szCs w:val="18"/>
              </w:rPr>
              <w:t xml:space="preserve"> </w:t>
            </w:r>
            <w:r w:rsidR="00EF0CBA" w:rsidRPr="002B4B16">
              <w:rPr>
                <w:sz w:val="18"/>
                <w:szCs w:val="18"/>
              </w:rPr>
              <w:t>and researchers can reflect on their field of w</w:t>
            </w:r>
            <w:r w:rsidR="000C575A">
              <w:rPr>
                <w:sz w:val="18"/>
                <w:szCs w:val="18"/>
              </w:rPr>
              <w:t xml:space="preserve">ork and identify strategies, solutions and </w:t>
            </w:r>
            <w:r w:rsidR="00EF0CBA" w:rsidRPr="002B4B16">
              <w:rPr>
                <w:sz w:val="18"/>
                <w:szCs w:val="18"/>
              </w:rPr>
              <w:t>partnerships to further their objectives.</w:t>
            </w:r>
          </w:p>
        </w:tc>
        <w:tc>
          <w:tcPr>
            <w:tcW w:w="986" w:type="dxa"/>
            <w:vAlign w:val="center"/>
          </w:tcPr>
          <w:p w:rsidR="00EF0CBA" w:rsidRPr="00330673" w:rsidRDefault="00EF0CBA" w:rsidP="005D311D">
            <w:pPr>
              <w:rPr>
                <w:sz w:val="18"/>
                <w:lang w:val="pt-BR"/>
              </w:rPr>
            </w:pPr>
            <w:r>
              <w:rPr>
                <w:sz w:val="18"/>
                <w:lang w:val="pt-BR"/>
              </w:rPr>
              <w:t>$ 25,000</w:t>
            </w:r>
          </w:p>
        </w:tc>
        <w:tc>
          <w:tcPr>
            <w:tcW w:w="1183" w:type="dxa"/>
            <w:vAlign w:val="center"/>
          </w:tcPr>
          <w:p w:rsidR="00EF0CBA" w:rsidRPr="00BF5621" w:rsidRDefault="00EF0CBA" w:rsidP="005D311D">
            <w:pPr>
              <w:rPr>
                <w:sz w:val="18"/>
              </w:rPr>
            </w:pPr>
            <w:r w:rsidRPr="00330673">
              <w:rPr>
                <w:sz w:val="18"/>
              </w:rPr>
              <w:t>1 January 2016 - 31 December 2016</w:t>
            </w:r>
          </w:p>
        </w:tc>
        <w:tc>
          <w:tcPr>
            <w:tcW w:w="1236" w:type="dxa"/>
            <w:vAlign w:val="center"/>
          </w:tcPr>
          <w:p w:rsidR="00EF0CBA" w:rsidRPr="00BF5621" w:rsidRDefault="00EF0CBA" w:rsidP="005D311D">
            <w:pPr>
              <w:rPr>
                <w:sz w:val="18"/>
              </w:rPr>
            </w:pPr>
            <w:r>
              <w:rPr>
                <w:sz w:val="18"/>
              </w:rPr>
              <w:t>Regional</w:t>
            </w:r>
          </w:p>
        </w:tc>
      </w:tr>
      <w:tr w:rsidR="000B5A04" w:rsidTr="000B5A04">
        <w:trPr>
          <w:trHeight w:val="923"/>
        </w:trPr>
        <w:tc>
          <w:tcPr>
            <w:tcW w:w="1638" w:type="dxa"/>
            <w:vAlign w:val="center"/>
          </w:tcPr>
          <w:p w:rsidR="000B5A04" w:rsidRPr="000B5A04" w:rsidRDefault="000B5A04" w:rsidP="000B5A04">
            <w:pPr>
              <w:rPr>
                <w:sz w:val="18"/>
              </w:rPr>
            </w:pPr>
            <w:r w:rsidRPr="000B5A04">
              <w:rPr>
                <w:sz w:val="18"/>
              </w:rPr>
              <w:t>openDemocracy</w:t>
            </w:r>
          </w:p>
        </w:tc>
        <w:tc>
          <w:tcPr>
            <w:tcW w:w="1427" w:type="dxa"/>
            <w:gridSpan w:val="2"/>
            <w:vAlign w:val="center"/>
          </w:tcPr>
          <w:p w:rsidR="000B5A04" w:rsidRPr="000B5A04" w:rsidRDefault="000B5A04" w:rsidP="000B5A04">
            <w:pPr>
              <w:rPr>
                <w:sz w:val="18"/>
              </w:rPr>
            </w:pPr>
            <w:r w:rsidRPr="000B5A04">
              <w:rPr>
                <w:sz w:val="18"/>
              </w:rPr>
              <w:t>Media Platform</w:t>
            </w:r>
          </w:p>
        </w:tc>
        <w:tc>
          <w:tcPr>
            <w:tcW w:w="1993" w:type="dxa"/>
            <w:vAlign w:val="center"/>
          </w:tcPr>
          <w:p w:rsidR="000B5A04" w:rsidRPr="000B5A04" w:rsidRDefault="000B5A04" w:rsidP="000B5A04">
            <w:pPr>
              <w:rPr>
                <w:sz w:val="18"/>
              </w:rPr>
            </w:pPr>
            <w:r w:rsidRPr="000B5A04">
              <w:rPr>
                <w:sz w:val="18"/>
              </w:rPr>
              <w:t>Democracia Abierta</w:t>
            </w:r>
          </w:p>
        </w:tc>
        <w:tc>
          <w:tcPr>
            <w:tcW w:w="5266" w:type="dxa"/>
            <w:vAlign w:val="center"/>
          </w:tcPr>
          <w:p w:rsidR="000B5A04" w:rsidRPr="000B5A04" w:rsidRDefault="000B5A04" w:rsidP="00287936">
            <w:pPr>
              <w:jc w:val="both"/>
              <w:rPr>
                <w:sz w:val="18"/>
              </w:rPr>
            </w:pPr>
            <w:r w:rsidRPr="000B5A04">
              <w:rPr>
                <w:sz w:val="18"/>
              </w:rPr>
              <w:t>Seed funding with OSIFE for the launch of Democracia Abierta, a media platform which seeks to share ideas and experiences that develop in Latin America and strengthen the ecosystem of independent media working for public interest.  Focus on Mexico, Brazil, Colombia and Argentina, and linking that work to debates in Spain, Portugal and Southern Europe.</w:t>
            </w:r>
          </w:p>
        </w:tc>
        <w:tc>
          <w:tcPr>
            <w:tcW w:w="986" w:type="dxa"/>
            <w:vAlign w:val="center"/>
          </w:tcPr>
          <w:p w:rsidR="000B5A04" w:rsidRPr="000B5A04" w:rsidRDefault="000B5A04" w:rsidP="000B5A04">
            <w:pPr>
              <w:rPr>
                <w:sz w:val="18"/>
              </w:rPr>
            </w:pPr>
            <w:r w:rsidRPr="000B5A04">
              <w:rPr>
                <w:sz w:val="18"/>
              </w:rPr>
              <w:t>$25,000</w:t>
            </w:r>
          </w:p>
        </w:tc>
        <w:tc>
          <w:tcPr>
            <w:tcW w:w="1183" w:type="dxa"/>
            <w:vAlign w:val="center"/>
          </w:tcPr>
          <w:p w:rsidR="000B5A04" w:rsidRPr="000B5A04" w:rsidRDefault="000B5A04" w:rsidP="000B5A04">
            <w:pPr>
              <w:rPr>
                <w:sz w:val="18"/>
              </w:rPr>
            </w:pPr>
            <w:r w:rsidRPr="000B5A04">
              <w:rPr>
                <w:sz w:val="18"/>
              </w:rPr>
              <w:t>1 March 2015 - 29 February 2016</w:t>
            </w:r>
          </w:p>
        </w:tc>
        <w:tc>
          <w:tcPr>
            <w:tcW w:w="1236" w:type="dxa"/>
            <w:vAlign w:val="center"/>
          </w:tcPr>
          <w:p w:rsidR="000B5A04" w:rsidRPr="000B5A04" w:rsidRDefault="000B5A04" w:rsidP="000B5A04">
            <w:pPr>
              <w:rPr>
                <w:sz w:val="18"/>
              </w:rPr>
            </w:pPr>
            <w:r w:rsidRPr="000B5A04">
              <w:rPr>
                <w:sz w:val="18"/>
              </w:rPr>
              <w:t>Regional</w:t>
            </w:r>
          </w:p>
        </w:tc>
      </w:tr>
      <w:tr w:rsidR="00DB0D18" w:rsidTr="0043082C">
        <w:trPr>
          <w:trHeight w:val="923"/>
        </w:trPr>
        <w:tc>
          <w:tcPr>
            <w:tcW w:w="1638" w:type="dxa"/>
            <w:vAlign w:val="center"/>
          </w:tcPr>
          <w:p w:rsidR="0048489B" w:rsidRPr="00745A4A" w:rsidRDefault="0048489B" w:rsidP="005D311D">
            <w:pPr>
              <w:rPr>
                <w:sz w:val="18"/>
              </w:rPr>
            </w:pPr>
            <w:r w:rsidRPr="00745A4A">
              <w:rPr>
                <w:sz w:val="18"/>
              </w:rPr>
              <w:t>WZB Berlin Social Science Center</w:t>
            </w:r>
          </w:p>
        </w:tc>
        <w:tc>
          <w:tcPr>
            <w:tcW w:w="1427" w:type="dxa"/>
            <w:gridSpan w:val="2"/>
            <w:vAlign w:val="center"/>
          </w:tcPr>
          <w:p w:rsidR="0048489B" w:rsidRPr="00116FF4" w:rsidRDefault="005D311D" w:rsidP="005D311D">
            <w:pPr>
              <w:rPr>
                <w:sz w:val="18"/>
              </w:rPr>
            </w:pPr>
            <w:r>
              <w:rPr>
                <w:sz w:val="18"/>
              </w:rPr>
              <w:t xml:space="preserve">Targeted Research: </w:t>
            </w:r>
            <w:r w:rsidR="0048489B" w:rsidRPr="0048489B">
              <w:rPr>
                <w:sz w:val="18"/>
              </w:rPr>
              <w:t>Tools for Reformers and Activist</w:t>
            </w:r>
            <w:r w:rsidR="000B204C">
              <w:rPr>
                <w:sz w:val="18"/>
              </w:rPr>
              <w:t>s</w:t>
            </w:r>
          </w:p>
        </w:tc>
        <w:tc>
          <w:tcPr>
            <w:tcW w:w="1993" w:type="dxa"/>
            <w:vAlign w:val="center"/>
          </w:tcPr>
          <w:p w:rsidR="0048489B" w:rsidRPr="00E2431E" w:rsidRDefault="0048489B" w:rsidP="00745A4A">
            <w:pPr>
              <w:rPr>
                <w:sz w:val="18"/>
              </w:rPr>
            </w:pPr>
            <w:r w:rsidRPr="00E2431E">
              <w:rPr>
                <w:sz w:val="18"/>
              </w:rPr>
              <w:t>LATINNO – Dataset on Democratic Innovations in Latin America</w:t>
            </w:r>
          </w:p>
        </w:tc>
        <w:tc>
          <w:tcPr>
            <w:tcW w:w="5266" w:type="dxa"/>
            <w:vAlign w:val="center"/>
          </w:tcPr>
          <w:p w:rsidR="0048489B" w:rsidRPr="00E2431E" w:rsidRDefault="0048489B" w:rsidP="00287936">
            <w:pPr>
              <w:jc w:val="both"/>
              <w:rPr>
                <w:sz w:val="18"/>
              </w:rPr>
            </w:pPr>
            <w:r>
              <w:rPr>
                <w:sz w:val="18"/>
              </w:rPr>
              <w:t>To a</w:t>
            </w:r>
            <w:r w:rsidRPr="00E2431E">
              <w:rPr>
                <w:sz w:val="18"/>
              </w:rPr>
              <w:t>dvance knowledge about democratic innovation</w:t>
            </w:r>
            <w:r>
              <w:rPr>
                <w:sz w:val="18"/>
              </w:rPr>
              <w:t xml:space="preserve"> (during the last 25 years)</w:t>
            </w:r>
            <w:r w:rsidRPr="00E2431E">
              <w:rPr>
                <w:sz w:val="18"/>
              </w:rPr>
              <w:t>, focused on non-electoral means of citizen participation in Latin America. WZB seeks to develop a public source</w:t>
            </w:r>
            <w:r>
              <w:rPr>
                <w:sz w:val="18"/>
              </w:rPr>
              <w:t xml:space="preserve"> (dataset)</w:t>
            </w:r>
            <w:r w:rsidRPr="00E2431E">
              <w:rPr>
                <w:sz w:val="18"/>
              </w:rPr>
              <w:t xml:space="preserve"> of information outlining a variety of characteristics for each innovative practice or project.</w:t>
            </w:r>
          </w:p>
        </w:tc>
        <w:tc>
          <w:tcPr>
            <w:tcW w:w="986" w:type="dxa"/>
            <w:vAlign w:val="center"/>
          </w:tcPr>
          <w:p w:rsidR="0048489B" w:rsidRDefault="0048489B" w:rsidP="005D311D">
            <w:pPr>
              <w:rPr>
                <w:sz w:val="18"/>
              </w:rPr>
            </w:pPr>
            <w:r>
              <w:rPr>
                <w:sz w:val="18"/>
              </w:rPr>
              <w:t>$106,960</w:t>
            </w:r>
          </w:p>
        </w:tc>
        <w:tc>
          <w:tcPr>
            <w:tcW w:w="1183" w:type="dxa"/>
            <w:vAlign w:val="center"/>
          </w:tcPr>
          <w:p w:rsidR="0048489B" w:rsidRPr="00116FF4" w:rsidRDefault="0048489B" w:rsidP="005D311D">
            <w:pPr>
              <w:rPr>
                <w:sz w:val="18"/>
              </w:rPr>
            </w:pPr>
            <w:r w:rsidRPr="00E2431E">
              <w:rPr>
                <w:sz w:val="18"/>
              </w:rPr>
              <w:t>1 December 2015 – 30 November 2016</w:t>
            </w:r>
          </w:p>
        </w:tc>
        <w:tc>
          <w:tcPr>
            <w:tcW w:w="1236" w:type="dxa"/>
            <w:vAlign w:val="center"/>
          </w:tcPr>
          <w:p w:rsidR="0048489B" w:rsidRPr="00116FF4" w:rsidRDefault="0048489B" w:rsidP="005D311D">
            <w:pPr>
              <w:rPr>
                <w:sz w:val="18"/>
              </w:rPr>
            </w:pPr>
            <w:r>
              <w:rPr>
                <w:sz w:val="18"/>
              </w:rPr>
              <w:t>Regional</w:t>
            </w:r>
          </w:p>
        </w:tc>
      </w:tr>
    </w:tbl>
    <w:tbl>
      <w:tblPr>
        <w:tblStyle w:val="TableGrid"/>
        <w:tblpPr w:leftFromText="180" w:rightFromText="180" w:tblpX="468" w:tblpY="600"/>
        <w:tblW w:w="136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620"/>
        <w:gridCol w:w="18"/>
        <w:gridCol w:w="1422"/>
        <w:gridCol w:w="18"/>
        <w:gridCol w:w="1962"/>
        <w:gridCol w:w="18"/>
        <w:gridCol w:w="5220"/>
        <w:gridCol w:w="990"/>
        <w:gridCol w:w="1170"/>
        <w:gridCol w:w="1260"/>
      </w:tblGrid>
      <w:tr w:rsidR="00EF0CBA" w:rsidTr="00F932AB">
        <w:trPr>
          <w:trHeight w:val="289"/>
        </w:trPr>
        <w:tc>
          <w:tcPr>
            <w:tcW w:w="13698" w:type="dxa"/>
            <w:gridSpan w:val="10"/>
            <w:shd w:val="clear" w:color="auto" w:fill="F2F2F2" w:themeFill="background1" w:themeFillShade="F2"/>
          </w:tcPr>
          <w:p w:rsidR="005D311D" w:rsidRPr="005D311D" w:rsidRDefault="005D311D" w:rsidP="002F770A">
            <w:pPr>
              <w:jc w:val="center"/>
              <w:rPr>
                <w:rFonts w:ascii="Garamond" w:hAnsi="Garamond"/>
                <w:b/>
                <w:color w:val="1F497D" w:themeColor="text2"/>
                <w:sz w:val="14"/>
              </w:rPr>
            </w:pPr>
          </w:p>
          <w:p w:rsidR="005D311D" w:rsidRDefault="00DB0D18" w:rsidP="002F770A">
            <w:pPr>
              <w:jc w:val="center"/>
              <w:rPr>
                <w:rFonts w:ascii="Garamond" w:hAnsi="Garamond"/>
                <w:b/>
                <w:color w:val="1F497D" w:themeColor="text2"/>
              </w:rPr>
            </w:pPr>
            <w:r>
              <w:rPr>
                <w:rFonts w:ascii="Garamond" w:hAnsi="Garamond"/>
                <w:b/>
                <w:color w:val="1F497D" w:themeColor="text2"/>
              </w:rPr>
              <w:t>Support E</w:t>
            </w:r>
            <w:r w:rsidR="008F0719" w:rsidRPr="008F0719">
              <w:rPr>
                <w:rFonts w:ascii="Garamond" w:hAnsi="Garamond"/>
                <w:b/>
                <w:color w:val="1F497D" w:themeColor="text2"/>
              </w:rPr>
              <w:t xml:space="preserve">xperimentation that uses </w:t>
            </w:r>
            <w:r>
              <w:rPr>
                <w:rFonts w:ascii="Garamond" w:hAnsi="Garamond"/>
                <w:b/>
                <w:color w:val="1F497D" w:themeColor="text2"/>
              </w:rPr>
              <w:t>T</w:t>
            </w:r>
            <w:r w:rsidR="008F0719" w:rsidRPr="008F0719">
              <w:rPr>
                <w:rFonts w:ascii="Garamond" w:hAnsi="Garamond"/>
                <w:b/>
                <w:color w:val="1F497D" w:themeColor="text2"/>
              </w:rPr>
              <w:t xml:space="preserve">echnology to </w:t>
            </w:r>
            <w:r>
              <w:rPr>
                <w:rFonts w:ascii="Garamond" w:hAnsi="Garamond"/>
                <w:b/>
                <w:color w:val="1F497D" w:themeColor="text2"/>
              </w:rPr>
              <w:t>E</w:t>
            </w:r>
            <w:r w:rsidR="008F0719" w:rsidRPr="008F0719">
              <w:rPr>
                <w:rFonts w:ascii="Garamond" w:hAnsi="Garamond"/>
                <w:b/>
                <w:color w:val="1F497D" w:themeColor="text2"/>
              </w:rPr>
              <w:t xml:space="preserve">ngage </w:t>
            </w:r>
            <w:r>
              <w:rPr>
                <w:rFonts w:ascii="Garamond" w:hAnsi="Garamond"/>
                <w:b/>
                <w:color w:val="1F497D" w:themeColor="text2"/>
              </w:rPr>
              <w:t>C</w:t>
            </w:r>
            <w:r w:rsidR="008F0719" w:rsidRPr="008F0719">
              <w:rPr>
                <w:rFonts w:ascii="Garamond" w:hAnsi="Garamond"/>
                <w:b/>
                <w:color w:val="1F497D" w:themeColor="text2"/>
              </w:rPr>
              <w:t xml:space="preserve">itizens in </w:t>
            </w:r>
            <w:r>
              <w:rPr>
                <w:rFonts w:ascii="Garamond" w:hAnsi="Garamond"/>
                <w:b/>
                <w:color w:val="1F497D" w:themeColor="text2"/>
              </w:rPr>
              <w:t>P</w:t>
            </w:r>
            <w:r w:rsidR="008F0719" w:rsidRPr="008F0719">
              <w:rPr>
                <w:rFonts w:ascii="Garamond" w:hAnsi="Garamond"/>
                <w:b/>
                <w:color w:val="1F497D" w:themeColor="text2"/>
              </w:rPr>
              <w:t xml:space="preserve">olicy-making and </w:t>
            </w:r>
            <w:r>
              <w:rPr>
                <w:rFonts w:ascii="Garamond" w:hAnsi="Garamond"/>
                <w:b/>
                <w:color w:val="1F497D" w:themeColor="text2"/>
              </w:rPr>
              <w:t>D</w:t>
            </w:r>
            <w:r w:rsidR="008F0719" w:rsidRPr="008F0719">
              <w:rPr>
                <w:rFonts w:ascii="Garamond" w:hAnsi="Garamond"/>
                <w:b/>
                <w:color w:val="1F497D" w:themeColor="text2"/>
              </w:rPr>
              <w:t xml:space="preserve">ebate </w:t>
            </w:r>
            <w:r>
              <w:rPr>
                <w:rFonts w:ascii="Garamond" w:hAnsi="Garamond"/>
                <w:b/>
                <w:color w:val="1F497D" w:themeColor="text2"/>
              </w:rPr>
              <w:t>I</w:t>
            </w:r>
            <w:r w:rsidR="008F0719" w:rsidRPr="008F0719">
              <w:rPr>
                <w:rFonts w:ascii="Garamond" w:hAnsi="Garamond"/>
                <w:b/>
                <w:color w:val="1F497D" w:themeColor="text2"/>
              </w:rPr>
              <w:t xml:space="preserve">nstitutional </w:t>
            </w:r>
            <w:r>
              <w:rPr>
                <w:rFonts w:ascii="Garamond" w:hAnsi="Garamond"/>
                <w:b/>
                <w:color w:val="1F497D" w:themeColor="text2"/>
              </w:rPr>
              <w:t>R</w:t>
            </w:r>
            <w:r w:rsidR="008F0719" w:rsidRPr="008F0719">
              <w:rPr>
                <w:rFonts w:ascii="Garamond" w:hAnsi="Garamond"/>
                <w:b/>
                <w:color w:val="1F497D" w:themeColor="text2"/>
              </w:rPr>
              <w:t>eform</w:t>
            </w:r>
          </w:p>
          <w:p w:rsidR="002F770A" w:rsidRPr="002F770A" w:rsidRDefault="002F770A" w:rsidP="002F770A">
            <w:pPr>
              <w:jc w:val="center"/>
              <w:rPr>
                <w:rFonts w:ascii="Garamond" w:hAnsi="Garamond"/>
                <w:b/>
                <w:color w:val="1F497D" w:themeColor="text2"/>
                <w:sz w:val="14"/>
              </w:rPr>
            </w:pPr>
          </w:p>
        </w:tc>
      </w:tr>
      <w:tr w:rsidR="00571039" w:rsidTr="00DB0D18">
        <w:trPr>
          <w:trHeight w:val="136"/>
        </w:trPr>
        <w:tc>
          <w:tcPr>
            <w:tcW w:w="13698" w:type="dxa"/>
            <w:gridSpan w:val="10"/>
            <w:vAlign w:val="center"/>
          </w:tcPr>
          <w:p w:rsidR="00571039" w:rsidRPr="00745A4A" w:rsidRDefault="00571039" w:rsidP="002F770A">
            <w:pPr>
              <w:rPr>
                <w:i/>
                <w:sz w:val="18"/>
              </w:rPr>
            </w:pPr>
            <w:r w:rsidRPr="00745A4A">
              <w:rPr>
                <w:rFonts w:ascii="Garamond" w:hAnsi="Garamond"/>
                <w:b/>
                <w:i/>
                <w:color w:val="1F497D" w:themeColor="text2"/>
                <w:sz w:val="18"/>
              </w:rPr>
              <w:t>Consultancies and Convening</w:t>
            </w:r>
          </w:p>
        </w:tc>
      </w:tr>
      <w:tr w:rsidR="008A7EF5" w:rsidTr="0043082C">
        <w:trPr>
          <w:trHeight w:val="136"/>
        </w:trPr>
        <w:tc>
          <w:tcPr>
            <w:tcW w:w="1620" w:type="dxa"/>
            <w:vAlign w:val="center"/>
          </w:tcPr>
          <w:p w:rsidR="00571039" w:rsidRPr="00745A4A" w:rsidRDefault="00571039" w:rsidP="002F770A">
            <w:pPr>
              <w:rPr>
                <w:color w:val="1F497D" w:themeColor="text2"/>
                <w:sz w:val="18"/>
              </w:rPr>
            </w:pPr>
            <w:r w:rsidRPr="00745A4A">
              <w:rPr>
                <w:sz w:val="18"/>
              </w:rPr>
              <w:t xml:space="preserve">Support to </w:t>
            </w:r>
            <w:r w:rsidR="0048489B" w:rsidRPr="00745A4A">
              <w:rPr>
                <w:sz w:val="18"/>
              </w:rPr>
              <w:t>Reformers in Mexico, Chile, Brazil &amp; Argentina</w:t>
            </w:r>
          </w:p>
        </w:tc>
        <w:tc>
          <w:tcPr>
            <w:tcW w:w="1440" w:type="dxa"/>
            <w:gridSpan w:val="2"/>
            <w:vAlign w:val="center"/>
          </w:tcPr>
          <w:p w:rsidR="00571039" w:rsidRPr="00BA161F" w:rsidRDefault="0048489B" w:rsidP="002F770A">
            <w:pPr>
              <w:rPr>
                <w:sz w:val="18"/>
              </w:rPr>
            </w:pPr>
            <w:r>
              <w:rPr>
                <w:sz w:val="18"/>
              </w:rPr>
              <w:t>Direct Assistance to Reformers</w:t>
            </w:r>
            <w:r w:rsidR="000B204C">
              <w:rPr>
                <w:sz w:val="18"/>
              </w:rPr>
              <w:t xml:space="preserve"> in Government</w:t>
            </w:r>
          </w:p>
        </w:tc>
        <w:tc>
          <w:tcPr>
            <w:tcW w:w="1998" w:type="dxa"/>
            <w:gridSpan w:val="3"/>
            <w:vAlign w:val="center"/>
          </w:tcPr>
          <w:p w:rsidR="00571039" w:rsidRPr="00330673" w:rsidRDefault="00571039" w:rsidP="002F770A">
            <w:pPr>
              <w:rPr>
                <w:sz w:val="18"/>
              </w:rPr>
            </w:pPr>
            <w:r>
              <w:rPr>
                <w:sz w:val="18"/>
              </w:rPr>
              <w:t xml:space="preserve">Providing </w:t>
            </w:r>
            <w:r w:rsidR="0048489B">
              <w:rPr>
                <w:sz w:val="18"/>
              </w:rPr>
              <w:t>Information and Networking Opportunities</w:t>
            </w:r>
          </w:p>
        </w:tc>
        <w:tc>
          <w:tcPr>
            <w:tcW w:w="5220" w:type="dxa"/>
            <w:vAlign w:val="center"/>
          </w:tcPr>
          <w:p w:rsidR="0048489B" w:rsidRDefault="005D311D" w:rsidP="002F770A">
            <w:pPr>
              <w:jc w:val="both"/>
              <w:rPr>
                <w:sz w:val="18"/>
                <w:u w:val="single"/>
              </w:rPr>
            </w:pPr>
            <w:r>
              <w:rPr>
                <w:sz w:val="18"/>
                <w:lang w:val="es-ES_tradnl"/>
              </w:rPr>
              <w:t xml:space="preserve">LAP has responded to </w:t>
            </w:r>
            <w:r w:rsidR="00571039">
              <w:rPr>
                <w:sz w:val="18"/>
                <w:lang w:val="es-ES_tradnl"/>
              </w:rPr>
              <w:t>request</w:t>
            </w:r>
            <w:r>
              <w:rPr>
                <w:sz w:val="18"/>
                <w:lang w:val="es-ES_tradnl"/>
              </w:rPr>
              <w:t>s</w:t>
            </w:r>
            <w:r w:rsidR="00571039">
              <w:rPr>
                <w:sz w:val="18"/>
                <w:lang w:val="es-ES_tradnl"/>
              </w:rPr>
              <w:t xml:space="preserve"> from </w:t>
            </w:r>
            <w:r w:rsidR="00571039" w:rsidRPr="009F0EDE">
              <w:rPr>
                <w:sz w:val="18"/>
                <w:lang w:val="es-ES_tradnl"/>
              </w:rPr>
              <w:t xml:space="preserve">Chile’s </w:t>
            </w:r>
            <w:r w:rsidR="00571039" w:rsidRPr="00CA6372">
              <w:rPr>
                <w:i/>
                <w:sz w:val="18"/>
                <w:lang w:val="es-ES_tradnl"/>
              </w:rPr>
              <w:t xml:space="preserve">Unidad de Modernización y Gobierno Digital del </w:t>
            </w:r>
            <w:r w:rsidR="00571039" w:rsidRPr="00CA6372">
              <w:rPr>
                <w:bCs/>
                <w:i/>
                <w:sz w:val="18"/>
                <w:lang w:val="es-ES_tradnl"/>
              </w:rPr>
              <w:t>Ministerio Secretaría General de la Presidencia</w:t>
            </w:r>
            <w:r w:rsidR="00571039" w:rsidRPr="009F0EDE">
              <w:rPr>
                <w:sz w:val="18"/>
                <w:lang w:val="es-ES_tradnl"/>
              </w:rPr>
              <w:t xml:space="preserve">, Mexico’s </w:t>
            </w:r>
            <w:r w:rsidR="00571039" w:rsidRPr="00CA6372">
              <w:rPr>
                <w:i/>
                <w:sz w:val="18"/>
                <w:lang w:val="es-ES_tradnl"/>
              </w:rPr>
              <w:t>Department</w:t>
            </w:r>
            <w:r w:rsidR="00405009" w:rsidRPr="00CA6372">
              <w:rPr>
                <w:i/>
                <w:sz w:val="18"/>
                <w:lang w:val="es-ES_tradnl"/>
              </w:rPr>
              <w:t>o de</w:t>
            </w:r>
            <w:r w:rsidR="00CA6372">
              <w:rPr>
                <w:i/>
                <w:sz w:val="18"/>
                <w:lang w:val="es-ES_tradnl"/>
              </w:rPr>
              <w:t xml:space="preserve"> </w:t>
            </w:r>
            <w:r w:rsidR="00571039" w:rsidRPr="00CA6372">
              <w:rPr>
                <w:i/>
                <w:sz w:val="18"/>
                <w:lang w:val="es-ES_tradnl"/>
              </w:rPr>
              <w:t>Innovación Cívica de la Presidencia de la República</w:t>
            </w:r>
            <w:r w:rsidR="00571039" w:rsidRPr="009F0EDE">
              <w:rPr>
                <w:b/>
                <w:sz w:val="18"/>
                <w:lang w:val="es-ES_tradnl"/>
              </w:rPr>
              <w:t xml:space="preserve">, </w:t>
            </w:r>
            <w:r w:rsidR="00571039" w:rsidRPr="00571039">
              <w:rPr>
                <w:sz w:val="18"/>
                <w:lang w:val="es-ES_tradnl"/>
              </w:rPr>
              <w:t xml:space="preserve">the </w:t>
            </w:r>
            <w:r w:rsidR="00571039" w:rsidRPr="00CA6372">
              <w:rPr>
                <w:bCs/>
                <w:i/>
                <w:sz w:val="18"/>
                <w:lang w:val="es-ES_tradnl"/>
              </w:rPr>
              <w:t>Subsecretaría de Reforma Institucional y Fortalecimiento de la Democracia en el Ministerio del Interior</w:t>
            </w:r>
            <w:r w:rsidR="00571039" w:rsidRPr="009F0EDE">
              <w:rPr>
                <w:bCs/>
                <w:sz w:val="18"/>
                <w:lang w:val="es-ES_tradnl"/>
              </w:rPr>
              <w:t xml:space="preserve"> of </w:t>
            </w:r>
            <w:r w:rsidR="00571039" w:rsidRPr="009F0EDE">
              <w:rPr>
                <w:sz w:val="18"/>
                <w:lang w:val="es-ES_tradnl"/>
              </w:rPr>
              <w:t>Argentina</w:t>
            </w:r>
            <w:r w:rsidR="00571039" w:rsidRPr="009F0EDE">
              <w:rPr>
                <w:b/>
                <w:sz w:val="18"/>
                <w:lang w:val="es-ES_tradnl"/>
              </w:rPr>
              <w:t xml:space="preserve">, </w:t>
            </w:r>
            <w:r w:rsidR="00571039" w:rsidRPr="009F0EDE">
              <w:rPr>
                <w:sz w:val="18"/>
                <w:lang w:val="es-ES_tradnl"/>
              </w:rPr>
              <w:t>the</w:t>
            </w:r>
            <w:r w:rsidR="00571039" w:rsidRPr="009F0EDE">
              <w:rPr>
                <w:b/>
                <w:sz w:val="18"/>
                <w:lang w:val="es-ES_tradnl"/>
              </w:rPr>
              <w:t xml:space="preserve"> </w:t>
            </w:r>
            <w:r w:rsidR="00571039" w:rsidRPr="009F0EDE">
              <w:rPr>
                <w:sz w:val="18"/>
                <w:lang w:val="es-ES_tradnl"/>
              </w:rPr>
              <w:t xml:space="preserve">Governor of the Brazilian </w:t>
            </w:r>
            <w:r>
              <w:rPr>
                <w:sz w:val="18"/>
                <w:lang w:val="es-ES_tradnl"/>
              </w:rPr>
              <w:t>S</w:t>
            </w:r>
            <w:r w:rsidR="00571039" w:rsidRPr="009F0EDE">
              <w:rPr>
                <w:sz w:val="18"/>
                <w:lang w:val="es-ES_tradnl"/>
              </w:rPr>
              <w:t>tate of Maranhão, and t</w:t>
            </w:r>
            <w:r>
              <w:rPr>
                <w:sz w:val="18"/>
                <w:lang w:val="es-ES_tradnl"/>
              </w:rPr>
              <w:t xml:space="preserve">he Brazilian </w:t>
            </w:r>
            <w:r w:rsidR="00405009">
              <w:rPr>
                <w:sz w:val="18"/>
                <w:lang w:val="es-ES_tradnl"/>
              </w:rPr>
              <w:t xml:space="preserve">National </w:t>
            </w:r>
            <w:r>
              <w:rPr>
                <w:sz w:val="18"/>
                <w:lang w:val="es-ES_tradnl"/>
              </w:rPr>
              <w:t xml:space="preserve">Development Bank. </w:t>
            </w:r>
            <w:r w:rsidR="0048489B">
              <w:rPr>
                <w:sz w:val="18"/>
              </w:rPr>
              <w:t>To all of them we have provide</w:t>
            </w:r>
            <w:r>
              <w:rPr>
                <w:sz w:val="18"/>
              </w:rPr>
              <w:t>d</w:t>
            </w:r>
            <w:r w:rsidR="0048489B">
              <w:rPr>
                <w:sz w:val="18"/>
              </w:rPr>
              <w:t xml:space="preserve"> information and networking opportunities.  In some cases we have sponsored and organized workshops, seminars and exchanges between reformers and civil society activists.  For example, we have often invited </w:t>
            </w:r>
            <w:r w:rsidR="0048489B" w:rsidRPr="005924BC">
              <w:rPr>
                <w:sz w:val="18"/>
              </w:rPr>
              <w:t>Instituto Tecnologia e Sociedade (ITS)</w:t>
            </w:r>
            <w:r w:rsidR="0048489B" w:rsidRPr="008E3439">
              <w:rPr>
                <w:b/>
                <w:sz w:val="18"/>
              </w:rPr>
              <w:t xml:space="preserve"> </w:t>
            </w:r>
            <w:r w:rsidR="0048489B" w:rsidRPr="008E3439">
              <w:rPr>
                <w:sz w:val="18"/>
              </w:rPr>
              <w:t xml:space="preserve">to share its experience and lessons learned with </w:t>
            </w:r>
            <w:hyperlink r:id="rId10" w:history="1">
              <w:r w:rsidR="0048489B" w:rsidRPr="008E3439">
                <w:rPr>
                  <w:rStyle w:val="Hyperlink"/>
                  <w:sz w:val="18"/>
                </w:rPr>
                <w:t>crowdsourcing Brazil’s Marco Civil legislation</w:t>
              </w:r>
            </w:hyperlink>
            <w:r w:rsidR="0048489B" w:rsidRPr="008E3439">
              <w:rPr>
                <w:sz w:val="18"/>
              </w:rPr>
              <w:t xml:space="preserve">, which is credited with formalizing online participation in policy development via government websites like the executive branch’s </w:t>
            </w:r>
            <w:hyperlink r:id="rId11" w:tgtFrame="_blank" w:history="1">
              <w:r w:rsidR="0048489B" w:rsidRPr="008E3439">
                <w:rPr>
                  <w:rStyle w:val="Hyperlink"/>
                  <w:sz w:val="18"/>
                </w:rPr>
                <w:t>Dialoga Brasil</w:t>
              </w:r>
            </w:hyperlink>
            <w:r w:rsidR="0048489B" w:rsidRPr="008E3439">
              <w:rPr>
                <w:sz w:val="18"/>
              </w:rPr>
              <w:t> website and congress’s </w:t>
            </w:r>
            <w:hyperlink r:id="rId12" w:tgtFrame="_blank" w:history="1">
              <w:r w:rsidR="0048489B" w:rsidRPr="008E3439">
                <w:rPr>
                  <w:rStyle w:val="Hyperlink"/>
                  <w:sz w:val="18"/>
                </w:rPr>
                <w:t>Portal e-Democracia</w:t>
              </w:r>
            </w:hyperlink>
            <w:r w:rsidR="0048489B" w:rsidRPr="008E3439">
              <w:rPr>
                <w:sz w:val="18"/>
                <w:u w:val="single"/>
              </w:rPr>
              <w:t>.</w:t>
            </w:r>
          </w:p>
          <w:p w:rsidR="00571039" w:rsidRPr="0048489B" w:rsidRDefault="00571039" w:rsidP="002F770A">
            <w:pPr>
              <w:rPr>
                <w:sz w:val="18"/>
              </w:rPr>
            </w:pPr>
          </w:p>
        </w:tc>
        <w:tc>
          <w:tcPr>
            <w:tcW w:w="990" w:type="dxa"/>
            <w:vAlign w:val="center"/>
          </w:tcPr>
          <w:p w:rsidR="00571039" w:rsidRPr="00330673" w:rsidRDefault="00571039" w:rsidP="002F770A">
            <w:pPr>
              <w:rPr>
                <w:sz w:val="18"/>
              </w:rPr>
            </w:pPr>
            <w:r>
              <w:rPr>
                <w:sz w:val="18"/>
              </w:rPr>
              <w:t>$60,000</w:t>
            </w:r>
          </w:p>
        </w:tc>
        <w:tc>
          <w:tcPr>
            <w:tcW w:w="1170" w:type="dxa"/>
            <w:vAlign w:val="center"/>
          </w:tcPr>
          <w:p w:rsidR="00571039" w:rsidRPr="00330673" w:rsidRDefault="00571039" w:rsidP="002F770A">
            <w:pPr>
              <w:rPr>
                <w:sz w:val="18"/>
              </w:rPr>
            </w:pPr>
            <w:r>
              <w:rPr>
                <w:sz w:val="18"/>
              </w:rPr>
              <w:t>December 2014-Ongoing</w:t>
            </w:r>
          </w:p>
        </w:tc>
        <w:tc>
          <w:tcPr>
            <w:tcW w:w="1260" w:type="dxa"/>
            <w:vAlign w:val="center"/>
          </w:tcPr>
          <w:p w:rsidR="00571039" w:rsidRPr="00330673" w:rsidRDefault="00571039" w:rsidP="002F770A">
            <w:pPr>
              <w:rPr>
                <w:sz w:val="18"/>
              </w:rPr>
            </w:pPr>
            <w:r>
              <w:rPr>
                <w:sz w:val="18"/>
              </w:rPr>
              <w:t>Regional</w:t>
            </w:r>
          </w:p>
        </w:tc>
      </w:tr>
      <w:tr w:rsidR="000B204C" w:rsidTr="00DB0D18">
        <w:trPr>
          <w:trHeight w:val="136"/>
        </w:trPr>
        <w:tc>
          <w:tcPr>
            <w:tcW w:w="13698" w:type="dxa"/>
            <w:gridSpan w:val="10"/>
            <w:vAlign w:val="center"/>
          </w:tcPr>
          <w:p w:rsidR="000B204C" w:rsidRPr="00810DAB" w:rsidRDefault="000B204C" w:rsidP="002F770A">
            <w:pPr>
              <w:rPr>
                <w:rFonts w:ascii="Garamond" w:hAnsi="Garamond"/>
                <w:b/>
                <w:i/>
                <w:sz w:val="18"/>
              </w:rPr>
            </w:pPr>
            <w:r w:rsidRPr="00810DAB">
              <w:rPr>
                <w:rFonts w:ascii="Garamond" w:hAnsi="Garamond"/>
                <w:b/>
                <w:i/>
                <w:color w:val="1F497D" w:themeColor="text2"/>
                <w:sz w:val="18"/>
              </w:rPr>
              <w:t>Grants</w:t>
            </w:r>
          </w:p>
        </w:tc>
      </w:tr>
      <w:tr w:rsidR="00CC0F89" w:rsidTr="004767F2">
        <w:trPr>
          <w:trHeight w:val="136"/>
        </w:trPr>
        <w:tc>
          <w:tcPr>
            <w:tcW w:w="1638" w:type="dxa"/>
            <w:gridSpan w:val="2"/>
            <w:vAlign w:val="center"/>
          </w:tcPr>
          <w:p w:rsidR="00CC0F89" w:rsidRPr="00CC0F89" w:rsidRDefault="00CC0F89" w:rsidP="00CC0F89">
            <w:pPr>
              <w:rPr>
                <w:sz w:val="18"/>
                <w:lang w:val="pt-BR"/>
              </w:rPr>
            </w:pPr>
            <w:r w:rsidRPr="00CC0F89">
              <w:rPr>
                <w:sz w:val="18"/>
                <w:lang w:val="pt-BR"/>
              </w:rPr>
              <w:t>Actantes – Acao direta pela Liberdade, Privacidade e Diversidade na rede</w:t>
            </w:r>
          </w:p>
        </w:tc>
        <w:tc>
          <w:tcPr>
            <w:tcW w:w="1440" w:type="dxa"/>
            <w:gridSpan w:val="2"/>
            <w:shd w:val="clear" w:color="auto" w:fill="auto"/>
            <w:vAlign w:val="center"/>
          </w:tcPr>
          <w:p w:rsidR="00CC0F89" w:rsidRPr="006336CC" w:rsidRDefault="00CC0F89" w:rsidP="00CC0F89">
            <w:pPr>
              <w:rPr>
                <w:sz w:val="18"/>
              </w:rPr>
            </w:pPr>
            <w:r w:rsidRPr="006336CC">
              <w:rPr>
                <w:sz w:val="18"/>
              </w:rPr>
              <w:t>Provide Assistance to a New Generation of Civil Society Activists</w:t>
            </w:r>
          </w:p>
        </w:tc>
        <w:tc>
          <w:tcPr>
            <w:tcW w:w="1962" w:type="dxa"/>
            <w:vAlign w:val="center"/>
          </w:tcPr>
          <w:p w:rsidR="00CC0F89" w:rsidRPr="00CC0F89" w:rsidRDefault="00CC0F89" w:rsidP="00CC0F89">
            <w:pPr>
              <w:rPr>
                <w:sz w:val="18"/>
              </w:rPr>
            </w:pPr>
            <w:r w:rsidRPr="00CC0F89">
              <w:rPr>
                <w:sz w:val="18"/>
              </w:rPr>
              <w:t>Actantes Core Support 2016</w:t>
            </w:r>
          </w:p>
        </w:tc>
        <w:tc>
          <w:tcPr>
            <w:tcW w:w="5238" w:type="dxa"/>
            <w:gridSpan w:val="2"/>
            <w:vAlign w:val="center"/>
          </w:tcPr>
          <w:p w:rsidR="00CC0F89" w:rsidRPr="00CC0F89" w:rsidRDefault="00CC0F89" w:rsidP="00287936">
            <w:pPr>
              <w:jc w:val="both"/>
              <w:rPr>
                <w:sz w:val="18"/>
              </w:rPr>
            </w:pPr>
            <w:r w:rsidRPr="00CC0F89">
              <w:rPr>
                <w:sz w:val="18"/>
              </w:rPr>
              <w:t>To support the Grantee's 2016 strategy.  While the organization will continue promoting the use of technology — such as cryptography and other digital security tools — by activists, not only as a form of protection on one’s agency and freedom of speech, it will also use it as a way to defend privacy and freedom of expression in the digital public sphere.</w:t>
            </w:r>
          </w:p>
        </w:tc>
        <w:tc>
          <w:tcPr>
            <w:tcW w:w="990" w:type="dxa"/>
            <w:vAlign w:val="center"/>
          </w:tcPr>
          <w:p w:rsidR="00CC0F89" w:rsidRPr="00CC0F89" w:rsidRDefault="00CC0F89" w:rsidP="00CC0F89">
            <w:pPr>
              <w:rPr>
                <w:sz w:val="18"/>
              </w:rPr>
            </w:pPr>
            <w:r w:rsidRPr="00CC0F89">
              <w:rPr>
                <w:sz w:val="18"/>
              </w:rPr>
              <w:t>$60,000</w:t>
            </w:r>
          </w:p>
        </w:tc>
        <w:tc>
          <w:tcPr>
            <w:tcW w:w="1170" w:type="dxa"/>
            <w:vAlign w:val="center"/>
          </w:tcPr>
          <w:p w:rsidR="00CC0F89" w:rsidRPr="00CC0F89" w:rsidRDefault="00CC0F89" w:rsidP="00CC0F89">
            <w:pPr>
              <w:rPr>
                <w:sz w:val="18"/>
              </w:rPr>
            </w:pPr>
            <w:r w:rsidRPr="00CC0F89">
              <w:rPr>
                <w:sz w:val="18"/>
              </w:rPr>
              <w:t>1 January 2016 – 31 December 2016</w:t>
            </w:r>
          </w:p>
        </w:tc>
        <w:tc>
          <w:tcPr>
            <w:tcW w:w="1260" w:type="dxa"/>
            <w:vAlign w:val="center"/>
          </w:tcPr>
          <w:p w:rsidR="00CC0F89" w:rsidRPr="00CC0F89" w:rsidRDefault="00CC0F89" w:rsidP="00CC0F89">
            <w:pPr>
              <w:rPr>
                <w:sz w:val="18"/>
              </w:rPr>
            </w:pPr>
            <w:r w:rsidRPr="00CC0F89">
              <w:rPr>
                <w:sz w:val="18"/>
              </w:rPr>
              <w:t>Brazil</w:t>
            </w:r>
          </w:p>
        </w:tc>
      </w:tr>
      <w:tr w:rsidR="00CC0F89" w:rsidTr="004767F2">
        <w:trPr>
          <w:trHeight w:val="136"/>
        </w:trPr>
        <w:tc>
          <w:tcPr>
            <w:tcW w:w="1638" w:type="dxa"/>
            <w:gridSpan w:val="2"/>
            <w:vAlign w:val="center"/>
          </w:tcPr>
          <w:p w:rsidR="00CC0F89" w:rsidRPr="000B5A04" w:rsidRDefault="00CC0F89" w:rsidP="000B5A04">
            <w:pPr>
              <w:rPr>
                <w:sz w:val="18"/>
              </w:rPr>
            </w:pPr>
            <w:r w:rsidRPr="00CC0F89">
              <w:rPr>
                <w:sz w:val="18"/>
              </w:rPr>
              <w:t>Associacao Caminho das Artes</w:t>
            </w:r>
          </w:p>
        </w:tc>
        <w:tc>
          <w:tcPr>
            <w:tcW w:w="1440" w:type="dxa"/>
            <w:gridSpan w:val="2"/>
            <w:shd w:val="clear" w:color="auto" w:fill="auto"/>
            <w:vAlign w:val="center"/>
          </w:tcPr>
          <w:p w:rsidR="00CC0F89" w:rsidRPr="006336CC" w:rsidRDefault="00CC0F89" w:rsidP="000B5A04">
            <w:pPr>
              <w:rPr>
                <w:sz w:val="18"/>
              </w:rPr>
            </w:pPr>
            <w:r w:rsidRPr="006336CC">
              <w:rPr>
                <w:sz w:val="18"/>
              </w:rPr>
              <w:t>Provide Assistance to a New Generation of Civil Society Activists</w:t>
            </w:r>
          </w:p>
        </w:tc>
        <w:tc>
          <w:tcPr>
            <w:tcW w:w="1962" w:type="dxa"/>
            <w:vAlign w:val="center"/>
          </w:tcPr>
          <w:p w:rsidR="00CC0F89" w:rsidRPr="000B5A04" w:rsidRDefault="00CC0F89" w:rsidP="000B5A04">
            <w:pPr>
              <w:rPr>
                <w:sz w:val="18"/>
              </w:rPr>
            </w:pPr>
            <w:r w:rsidRPr="00CC0F89">
              <w:rPr>
                <w:sz w:val="18"/>
              </w:rPr>
              <w:t>Mídía Ninja - The Collective Eye to Reduce Police Violence</w:t>
            </w:r>
          </w:p>
        </w:tc>
        <w:tc>
          <w:tcPr>
            <w:tcW w:w="5238" w:type="dxa"/>
            <w:gridSpan w:val="2"/>
            <w:vAlign w:val="center"/>
          </w:tcPr>
          <w:p w:rsidR="00CC0F89" w:rsidRPr="000B5A04" w:rsidRDefault="00CC0F89" w:rsidP="00287936">
            <w:pPr>
              <w:jc w:val="both"/>
              <w:rPr>
                <w:sz w:val="18"/>
              </w:rPr>
            </w:pPr>
            <w:r>
              <w:rPr>
                <w:sz w:val="18"/>
              </w:rPr>
              <w:t>To</w:t>
            </w:r>
            <w:r w:rsidRPr="00CC0F89">
              <w:rPr>
                <w:sz w:val="18"/>
              </w:rPr>
              <w:t xml:space="preserve"> strengthen an independent media structure in Brazil that will report, promote discussion and inhibit violent police practices against public demonstrators</w:t>
            </w:r>
            <w:r>
              <w:rPr>
                <w:sz w:val="18"/>
              </w:rPr>
              <w:t xml:space="preserve">. </w:t>
            </w:r>
          </w:p>
        </w:tc>
        <w:tc>
          <w:tcPr>
            <w:tcW w:w="990" w:type="dxa"/>
            <w:vAlign w:val="center"/>
          </w:tcPr>
          <w:p w:rsidR="00CC0F89" w:rsidRPr="000B5A04" w:rsidRDefault="00CC0F89" w:rsidP="000B5A04">
            <w:pPr>
              <w:rPr>
                <w:sz w:val="18"/>
              </w:rPr>
            </w:pPr>
            <w:r>
              <w:rPr>
                <w:sz w:val="18"/>
              </w:rPr>
              <w:t>$80,000</w:t>
            </w:r>
          </w:p>
        </w:tc>
        <w:tc>
          <w:tcPr>
            <w:tcW w:w="1170" w:type="dxa"/>
            <w:vAlign w:val="center"/>
          </w:tcPr>
          <w:p w:rsidR="00CC0F89" w:rsidRPr="000B5A04" w:rsidRDefault="00CC0F89" w:rsidP="000B5A04">
            <w:pPr>
              <w:rPr>
                <w:sz w:val="18"/>
              </w:rPr>
            </w:pPr>
            <w:r>
              <w:rPr>
                <w:sz w:val="18"/>
              </w:rPr>
              <w:t>1 August 2015 – 1 August 2016</w:t>
            </w:r>
          </w:p>
        </w:tc>
        <w:tc>
          <w:tcPr>
            <w:tcW w:w="1260" w:type="dxa"/>
            <w:vAlign w:val="center"/>
          </w:tcPr>
          <w:p w:rsidR="00CC0F89" w:rsidRPr="000B5A04" w:rsidRDefault="00CC0F89" w:rsidP="000B5A04">
            <w:pPr>
              <w:rPr>
                <w:sz w:val="18"/>
              </w:rPr>
            </w:pPr>
            <w:r>
              <w:rPr>
                <w:sz w:val="18"/>
              </w:rPr>
              <w:t>Brazil</w:t>
            </w:r>
          </w:p>
        </w:tc>
      </w:tr>
      <w:tr w:rsidR="000B5A04" w:rsidTr="000B5A04">
        <w:trPr>
          <w:trHeight w:val="136"/>
        </w:trPr>
        <w:tc>
          <w:tcPr>
            <w:tcW w:w="1638" w:type="dxa"/>
            <w:gridSpan w:val="2"/>
            <w:vAlign w:val="center"/>
          </w:tcPr>
          <w:p w:rsidR="000B5A04" w:rsidRPr="000B5A04" w:rsidRDefault="000B5A04" w:rsidP="000B5A04">
            <w:pPr>
              <w:rPr>
                <w:sz w:val="18"/>
              </w:rPr>
            </w:pPr>
            <w:r w:rsidRPr="000B5A04">
              <w:rPr>
                <w:sz w:val="18"/>
              </w:rPr>
              <w:t xml:space="preserve">Asuntos del Sur </w:t>
            </w:r>
          </w:p>
        </w:tc>
        <w:tc>
          <w:tcPr>
            <w:tcW w:w="1440" w:type="dxa"/>
            <w:gridSpan w:val="2"/>
            <w:vAlign w:val="center"/>
          </w:tcPr>
          <w:p w:rsidR="000B5A04" w:rsidRPr="000B5A04" w:rsidRDefault="000B5A04" w:rsidP="000B5A04">
            <w:pPr>
              <w:rPr>
                <w:sz w:val="18"/>
              </w:rPr>
            </w:pPr>
            <w:r w:rsidRPr="000B5A04">
              <w:rPr>
                <w:sz w:val="18"/>
              </w:rPr>
              <w:t>Provide Assistance to a New Generation of Civil Society Activists</w:t>
            </w:r>
          </w:p>
        </w:tc>
        <w:tc>
          <w:tcPr>
            <w:tcW w:w="1962" w:type="dxa"/>
            <w:vAlign w:val="center"/>
          </w:tcPr>
          <w:p w:rsidR="000B5A04" w:rsidRPr="000B5A04" w:rsidRDefault="000B5A04" w:rsidP="000B5A04">
            <w:pPr>
              <w:rPr>
                <w:sz w:val="18"/>
              </w:rPr>
            </w:pPr>
            <w:r w:rsidRPr="000B5A04">
              <w:rPr>
                <w:sz w:val="18"/>
              </w:rPr>
              <w:t xml:space="preserve">Latin America Political Innovation Network </w:t>
            </w:r>
          </w:p>
        </w:tc>
        <w:tc>
          <w:tcPr>
            <w:tcW w:w="5238" w:type="dxa"/>
            <w:gridSpan w:val="2"/>
            <w:vAlign w:val="center"/>
          </w:tcPr>
          <w:p w:rsidR="000B5A04" w:rsidRPr="000B5A04" w:rsidRDefault="000B5A04" w:rsidP="00287936">
            <w:pPr>
              <w:jc w:val="both"/>
              <w:rPr>
                <w:sz w:val="18"/>
              </w:rPr>
            </w:pPr>
            <w:r w:rsidRPr="000B5A04">
              <w:rPr>
                <w:sz w:val="18"/>
              </w:rPr>
              <w:t xml:space="preserve">To develop spaces for exchanges among actors thinking about and working on democratic practice and political innovation especially those developing ways to penetrate the formal political system, reform institutions and change democratic culture and practice. (Project in partnership with Democracia en Red). </w:t>
            </w:r>
          </w:p>
        </w:tc>
        <w:tc>
          <w:tcPr>
            <w:tcW w:w="990" w:type="dxa"/>
            <w:vAlign w:val="center"/>
          </w:tcPr>
          <w:p w:rsidR="000B5A04" w:rsidRPr="000B5A04" w:rsidRDefault="000B5A04" w:rsidP="000B5A04">
            <w:pPr>
              <w:rPr>
                <w:sz w:val="18"/>
              </w:rPr>
            </w:pPr>
            <w:r w:rsidRPr="000B5A04">
              <w:rPr>
                <w:sz w:val="18"/>
              </w:rPr>
              <w:t>$50,000</w:t>
            </w:r>
          </w:p>
        </w:tc>
        <w:tc>
          <w:tcPr>
            <w:tcW w:w="1170" w:type="dxa"/>
            <w:vAlign w:val="center"/>
          </w:tcPr>
          <w:p w:rsidR="000B5A04" w:rsidRPr="000B5A04" w:rsidRDefault="000B5A04" w:rsidP="000B5A04">
            <w:pPr>
              <w:rPr>
                <w:sz w:val="18"/>
              </w:rPr>
            </w:pPr>
            <w:r w:rsidRPr="000B5A04">
              <w:rPr>
                <w:sz w:val="18"/>
              </w:rPr>
              <w:t>1 November 2015 – 31 October 2016</w:t>
            </w:r>
          </w:p>
        </w:tc>
        <w:tc>
          <w:tcPr>
            <w:tcW w:w="1260" w:type="dxa"/>
            <w:vAlign w:val="center"/>
          </w:tcPr>
          <w:p w:rsidR="000B5A04" w:rsidRPr="000B5A04" w:rsidRDefault="000B5A04" w:rsidP="000B5A04">
            <w:pPr>
              <w:rPr>
                <w:sz w:val="18"/>
              </w:rPr>
            </w:pPr>
            <w:r w:rsidRPr="000B5A04">
              <w:rPr>
                <w:sz w:val="18"/>
              </w:rPr>
              <w:t>Regional</w:t>
            </w:r>
          </w:p>
        </w:tc>
      </w:tr>
      <w:tr w:rsidR="000B5A04" w:rsidTr="00CC0F89">
        <w:trPr>
          <w:trHeight w:val="136"/>
        </w:trPr>
        <w:tc>
          <w:tcPr>
            <w:tcW w:w="1638" w:type="dxa"/>
            <w:gridSpan w:val="2"/>
            <w:vAlign w:val="center"/>
          </w:tcPr>
          <w:p w:rsidR="000B5A04" w:rsidRPr="000B5A04" w:rsidRDefault="000B5A04" w:rsidP="000B5A04">
            <w:pPr>
              <w:rPr>
                <w:sz w:val="18"/>
              </w:rPr>
            </w:pPr>
            <w:r w:rsidRPr="000B5A04">
              <w:rPr>
                <w:sz w:val="18"/>
              </w:rPr>
              <w:t>Casa Fluminense</w:t>
            </w:r>
          </w:p>
        </w:tc>
        <w:tc>
          <w:tcPr>
            <w:tcW w:w="1440" w:type="dxa"/>
            <w:gridSpan w:val="2"/>
            <w:shd w:val="clear" w:color="auto" w:fill="auto"/>
            <w:vAlign w:val="center"/>
          </w:tcPr>
          <w:p w:rsidR="000B5A04" w:rsidRPr="000B5A04" w:rsidRDefault="000B5A04" w:rsidP="000B5A04">
            <w:pPr>
              <w:rPr>
                <w:sz w:val="18"/>
              </w:rPr>
            </w:pPr>
            <w:r w:rsidRPr="000B5A04">
              <w:rPr>
                <w:sz w:val="18"/>
              </w:rPr>
              <w:t>General Support to Multi-Sectoral Sub-National Level Activists</w:t>
            </w:r>
          </w:p>
        </w:tc>
        <w:tc>
          <w:tcPr>
            <w:tcW w:w="1962" w:type="dxa"/>
            <w:vAlign w:val="center"/>
          </w:tcPr>
          <w:p w:rsidR="000B5A04" w:rsidRPr="000B5A04" w:rsidRDefault="000B5A04" w:rsidP="000B5A04">
            <w:pPr>
              <w:rPr>
                <w:sz w:val="18"/>
              </w:rPr>
            </w:pPr>
            <w:r w:rsidRPr="000B5A04">
              <w:rPr>
                <w:sz w:val="18"/>
              </w:rPr>
              <w:t>Basic Project 2015-2016</w:t>
            </w:r>
          </w:p>
        </w:tc>
        <w:tc>
          <w:tcPr>
            <w:tcW w:w="5238" w:type="dxa"/>
            <w:gridSpan w:val="2"/>
            <w:vAlign w:val="center"/>
          </w:tcPr>
          <w:p w:rsidR="000B5A04" w:rsidRPr="000B5A04" w:rsidRDefault="000B5A04" w:rsidP="00287936">
            <w:pPr>
              <w:jc w:val="both"/>
              <w:rPr>
                <w:sz w:val="18"/>
              </w:rPr>
            </w:pPr>
            <w:r w:rsidRPr="000B5A04">
              <w:rPr>
                <w:sz w:val="18"/>
              </w:rPr>
              <w:t xml:space="preserve">To strengthen civil society capacities to engage with government policy makers and to present shared proposals for a more equal, democratic and sustainable Rio de Janeiro metropolitan area. </w:t>
            </w:r>
          </w:p>
        </w:tc>
        <w:tc>
          <w:tcPr>
            <w:tcW w:w="990" w:type="dxa"/>
            <w:vAlign w:val="center"/>
          </w:tcPr>
          <w:p w:rsidR="000B5A04" w:rsidRPr="000B5A04" w:rsidRDefault="000B5A04" w:rsidP="000B5A04">
            <w:pPr>
              <w:rPr>
                <w:sz w:val="18"/>
              </w:rPr>
            </w:pPr>
            <w:r w:rsidRPr="000B5A04">
              <w:rPr>
                <w:sz w:val="18"/>
              </w:rPr>
              <w:t>$ 200,139</w:t>
            </w:r>
          </w:p>
        </w:tc>
        <w:tc>
          <w:tcPr>
            <w:tcW w:w="1170" w:type="dxa"/>
            <w:vAlign w:val="center"/>
          </w:tcPr>
          <w:p w:rsidR="000B5A04" w:rsidRPr="000B5A04" w:rsidRDefault="000B5A04" w:rsidP="000B5A04">
            <w:pPr>
              <w:rPr>
                <w:sz w:val="18"/>
              </w:rPr>
            </w:pPr>
            <w:r w:rsidRPr="000B5A04">
              <w:rPr>
                <w:sz w:val="18"/>
              </w:rPr>
              <w:t>1 May 2015 – 30 April 2017</w:t>
            </w:r>
          </w:p>
        </w:tc>
        <w:tc>
          <w:tcPr>
            <w:tcW w:w="1260" w:type="dxa"/>
            <w:vAlign w:val="center"/>
          </w:tcPr>
          <w:p w:rsidR="000B5A04" w:rsidRPr="000B5A04" w:rsidRDefault="000B5A04" w:rsidP="000B5A04">
            <w:pPr>
              <w:rPr>
                <w:sz w:val="18"/>
              </w:rPr>
            </w:pPr>
            <w:r w:rsidRPr="000B5A04">
              <w:rPr>
                <w:sz w:val="18"/>
              </w:rPr>
              <w:t>Brazil</w:t>
            </w:r>
          </w:p>
        </w:tc>
      </w:tr>
    </w:tbl>
    <w:tbl>
      <w:tblPr>
        <w:tblStyle w:val="TableGrid"/>
        <w:tblpPr w:leftFromText="180" w:rightFromText="180" w:vertAnchor="text" w:horzAnchor="margin" w:tblpXSpec="center" w:tblpY="55"/>
        <w:tblW w:w="136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656"/>
        <w:gridCol w:w="1422"/>
        <w:gridCol w:w="1980"/>
        <w:gridCol w:w="5220"/>
        <w:gridCol w:w="990"/>
        <w:gridCol w:w="1170"/>
        <w:gridCol w:w="1260"/>
      </w:tblGrid>
      <w:tr w:rsidR="002F770A" w:rsidTr="0043082C">
        <w:tc>
          <w:tcPr>
            <w:tcW w:w="1656" w:type="dxa"/>
            <w:shd w:val="clear" w:color="auto" w:fill="C6D9F1" w:themeFill="text2" w:themeFillTint="33"/>
            <w:vAlign w:val="center"/>
          </w:tcPr>
          <w:p w:rsidR="002F770A" w:rsidRPr="005F29A7" w:rsidRDefault="002F770A" w:rsidP="006A3878">
            <w:pPr>
              <w:jc w:val="center"/>
              <w:rPr>
                <w:rFonts w:ascii="Garamond" w:hAnsi="Garamond"/>
                <w:b/>
                <w:sz w:val="20"/>
              </w:rPr>
            </w:pPr>
            <w:r w:rsidRPr="005F29A7">
              <w:rPr>
                <w:rFonts w:ascii="Garamond" w:hAnsi="Garamond"/>
                <w:b/>
                <w:sz w:val="20"/>
              </w:rPr>
              <w:t>Org</w:t>
            </w:r>
            <w:r>
              <w:rPr>
                <w:rFonts w:ascii="Garamond" w:hAnsi="Garamond"/>
                <w:b/>
                <w:sz w:val="20"/>
              </w:rPr>
              <w:t>anization</w:t>
            </w:r>
          </w:p>
        </w:tc>
        <w:tc>
          <w:tcPr>
            <w:tcW w:w="1422" w:type="dxa"/>
            <w:shd w:val="clear" w:color="auto" w:fill="C6D9F1" w:themeFill="text2" w:themeFillTint="33"/>
            <w:vAlign w:val="center"/>
          </w:tcPr>
          <w:p w:rsidR="002F770A" w:rsidRPr="005F29A7" w:rsidRDefault="002F770A" w:rsidP="006A3878">
            <w:pPr>
              <w:ind w:left="-108"/>
              <w:jc w:val="center"/>
              <w:rPr>
                <w:rFonts w:ascii="Garamond" w:hAnsi="Garamond"/>
                <w:b/>
                <w:sz w:val="20"/>
              </w:rPr>
            </w:pPr>
            <w:r>
              <w:rPr>
                <w:rFonts w:ascii="Garamond" w:hAnsi="Garamond"/>
                <w:b/>
                <w:sz w:val="20"/>
              </w:rPr>
              <w:t>Approach</w:t>
            </w:r>
          </w:p>
        </w:tc>
        <w:tc>
          <w:tcPr>
            <w:tcW w:w="1980" w:type="dxa"/>
            <w:shd w:val="clear" w:color="auto" w:fill="C6D9F1" w:themeFill="text2" w:themeFillTint="33"/>
            <w:vAlign w:val="center"/>
          </w:tcPr>
          <w:p w:rsidR="002F770A" w:rsidRPr="005F29A7" w:rsidRDefault="002F770A" w:rsidP="006A3878">
            <w:pPr>
              <w:ind w:left="-108"/>
              <w:jc w:val="center"/>
              <w:rPr>
                <w:rFonts w:ascii="Garamond" w:hAnsi="Garamond"/>
                <w:b/>
                <w:sz w:val="20"/>
              </w:rPr>
            </w:pPr>
            <w:r>
              <w:rPr>
                <w:rFonts w:ascii="Garamond" w:hAnsi="Garamond"/>
                <w:b/>
                <w:sz w:val="20"/>
              </w:rPr>
              <w:t>Grant or Consultancy Name</w:t>
            </w:r>
          </w:p>
        </w:tc>
        <w:tc>
          <w:tcPr>
            <w:tcW w:w="5220" w:type="dxa"/>
            <w:shd w:val="clear" w:color="auto" w:fill="C6D9F1" w:themeFill="text2" w:themeFillTint="33"/>
            <w:vAlign w:val="center"/>
          </w:tcPr>
          <w:p w:rsidR="002F770A" w:rsidRPr="005F29A7" w:rsidRDefault="002F770A" w:rsidP="006A3878">
            <w:pPr>
              <w:jc w:val="center"/>
              <w:rPr>
                <w:rFonts w:ascii="Garamond" w:hAnsi="Garamond"/>
                <w:b/>
                <w:sz w:val="20"/>
              </w:rPr>
            </w:pPr>
            <w:r w:rsidRPr="005F29A7">
              <w:rPr>
                <w:rFonts w:ascii="Garamond" w:hAnsi="Garamond"/>
                <w:b/>
                <w:sz w:val="20"/>
              </w:rPr>
              <w:t>Description</w:t>
            </w:r>
            <w:r>
              <w:rPr>
                <w:rFonts w:ascii="Garamond" w:hAnsi="Garamond"/>
                <w:b/>
                <w:sz w:val="20"/>
              </w:rPr>
              <w:t xml:space="preserve"> </w:t>
            </w:r>
          </w:p>
        </w:tc>
        <w:tc>
          <w:tcPr>
            <w:tcW w:w="990" w:type="dxa"/>
            <w:shd w:val="clear" w:color="auto" w:fill="C6D9F1" w:themeFill="text2" w:themeFillTint="33"/>
            <w:vAlign w:val="center"/>
          </w:tcPr>
          <w:p w:rsidR="002F770A" w:rsidRPr="005F29A7" w:rsidRDefault="002F770A" w:rsidP="006A3878">
            <w:pPr>
              <w:jc w:val="center"/>
              <w:rPr>
                <w:rFonts w:ascii="Garamond" w:hAnsi="Garamond"/>
                <w:b/>
                <w:sz w:val="20"/>
              </w:rPr>
            </w:pPr>
            <w:r w:rsidRPr="005F29A7">
              <w:rPr>
                <w:rFonts w:ascii="Garamond" w:hAnsi="Garamond"/>
                <w:b/>
                <w:sz w:val="20"/>
              </w:rPr>
              <w:t>Amount</w:t>
            </w:r>
          </w:p>
        </w:tc>
        <w:tc>
          <w:tcPr>
            <w:tcW w:w="1170" w:type="dxa"/>
            <w:shd w:val="clear" w:color="auto" w:fill="C6D9F1" w:themeFill="text2" w:themeFillTint="33"/>
            <w:vAlign w:val="center"/>
          </w:tcPr>
          <w:p w:rsidR="002F770A" w:rsidRPr="005F29A7" w:rsidRDefault="002F770A" w:rsidP="006A3878">
            <w:pPr>
              <w:jc w:val="center"/>
              <w:rPr>
                <w:rFonts w:ascii="Garamond" w:hAnsi="Garamond"/>
                <w:b/>
                <w:sz w:val="20"/>
              </w:rPr>
            </w:pPr>
            <w:r w:rsidRPr="005F29A7">
              <w:rPr>
                <w:rFonts w:ascii="Garamond" w:hAnsi="Garamond"/>
                <w:b/>
                <w:sz w:val="20"/>
              </w:rPr>
              <w:t>Period</w:t>
            </w:r>
          </w:p>
        </w:tc>
        <w:tc>
          <w:tcPr>
            <w:tcW w:w="1260" w:type="dxa"/>
            <w:shd w:val="clear" w:color="auto" w:fill="C6D9F1" w:themeFill="text2" w:themeFillTint="33"/>
            <w:vAlign w:val="center"/>
          </w:tcPr>
          <w:p w:rsidR="002F770A" w:rsidRPr="005F29A7" w:rsidRDefault="002F770A" w:rsidP="006A3878">
            <w:pPr>
              <w:jc w:val="center"/>
              <w:rPr>
                <w:rFonts w:ascii="Garamond" w:hAnsi="Garamond"/>
                <w:b/>
                <w:sz w:val="20"/>
              </w:rPr>
            </w:pPr>
            <w:r>
              <w:rPr>
                <w:rFonts w:ascii="Garamond" w:hAnsi="Garamond"/>
                <w:b/>
                <w:sz w:val="20"/>
              </w:rPr>
              <w:t>Geography of Work</w:t>
            </w:r>
          </w:p>
        </w:tc>
      </w:tr>
    </w:tbl>
    <w:p w:rsidR="008A7EF5" w:rsidRDefault="008A7EF5" w:rsidP="00C27508">
      <w:pPr>
        <w:spacing w:after="0" w:line="240" w:lineRule="auto"/>
      </w:pPr>
    </w:p>
    <w:tbl>
      <w:tblPr>
        <w:tblStyle w:val="TableGrid"/>
        <w:tblpPr w:leftFromText="180" w:rightFromText="180" w:vertAnchor="text" w:horzAnchor="margin" w:tblpXSpec="center" w:tblpY="55"/>
        <w:tblW w:w="136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656"/>
        <w:gridCol w:w="1422"/>
        <w:gridCol w:w="1980"/>
        <w:gridCol w:w="5220"/>
        <w:gridCol w:w="990"/>
        <w:gridCol w:w="1170"/>
        <w:gridCol w:w="1260"/>
      </w:tblGrid>
      <w:tr w:rsidR="00413879" w:rsidTr="0043082C">
        <w:tc>
          <w:tcPr>
            <w:tcW w:w="1656" w:type="dxa"/>
            <w:shd w:val="clear" w:color="auto" w:fill="C6D9F1" w:themeFill="text2" w:themeFillTint="33"/>
            <w:vAlign w:val="center"/>
          </w:tcPr>
          <w:p w:rsidR="00413879" w:rsidRPr="005F29A7" w:rsidRDefault="00413879" w:rsidP="006A3878">
            <w:pPr>
              <w:jc w:val="center"/>
              <w:rPr>
                <w:rFonts w:ascii="Garamond" w:hAnsi="Garamond"/>
                <w:b/>
                <w:sz w:val="20"/>
              </w:rPr>
            </w:pPr>
            <w:r w:rsidRPr="005F29A7">
              <w:rPr>
                <w:rFonts w:ascii="Garamond" w:hAnsi="Garamond"/>
                <w:b/>
                <w:sz w:val="20"/>
              </w:rPr>
              <w:lastRenderedPageBreak/>
              <w:t>Org</w:t>
            </w:r>
            <w:r>
              <w:rPr>
                <w:rFonts w:ascii="Garamond" w:hAnsi="Garamond"/>
                <w:b/>
                <w:sz w:val="20"/>
              </w:rPr>
              <w:t>anization</w:t>
            </w:r>
          </w:p>
        </w:tc>
        <w:tc>
          <w:tcPr>
            <w:tcW w:w="1422" w:type="dxa"/>
            <w:shd w:val="clear" w:color="auto" w:fill="C6D9F1" w:themeFill="text2" w:themeFillTint="33"/>
            <w:vAlign w:val="center"/>
          </w:tcPr>
          <w:p w:rsidR="00413879" w:rsidRPr="005F29A7" w:rsidRDefault="00413879" w:rsidP="006A3878">
            <w:pPr>
              <w:ind w:left="-108"/>
              <w:jc w:val="center"/>
              <w:rPr>
                <w:rFonts w:ascii="Garamond" w:hAnsi="Garamond"/>
                <w:b/>
                <w:sz w:val="20"/>
              </w:rPr>
            </w:pPr>
            <w:r>
              <w:rPr>
                <w:rFonts w:ascii="Garamond" w:hAnsi="Garamond"/>
                <w:b/>
                <w:sz w:val="20"/>
              </w:rPr>
              <w:t>Approach</w:t>
            </w:r>
          </w:p>
        </w:tc>
        <w:tc>
          <w:tcPr>
            <w:tcW w:w="1980" w:type="dxa"/>
            <w:shd w:val="clear" w:color="auto" w:fill="C6D9F1" w:themeFill="text2" w:themeFillTint="33"/>
            <w:vAlign w:val="center"/>
          </w:tcPr>
          <w:p w:rsidR="00413879" w:rsidRPr="005F29A7" w:rsidRDefault="00413879" w:rsidP="006A3878">
            <w:pPr>
              <w:ind w:left="-108"/>
              <w:jc w:val="center"/>
              <w:rPr>
                <w:rFonts w:ascii="Garamond" w:hAnsi="Garamond"/>
                <w:b/>
                <w:sz w:val="20"/>
              </w:rPr>
            </w:pPr>
            <w:r>
              <w:rPr>
                <w:rFonts w:ascii="Garamond" w:hAnsi="Garamond"/>
                <w:b/>
                <w:sz w:val="20"/>
              </w:rPr>
              <w:t>Grant or Consultancy Name</w:t>
            </w:r>
          </w:p>
        </w:tc>
        <w:tc>
          <w:tcPr>
            <w:tcW w:w="5220" w:type="dxa"/>
            <w:shd w:val="clear" w:color="auto" w:fill="C6D9F1" w:themeFill="text2" w:themeFillTint="33"/>
            <w:vAlign w:val="center"/>
          </w:tcPr>
          <w:p w:rsidR="00413879" w:rsidRPr="005F29A7" w:rsidRDefault="00413879" w:rsidP="006A3878">
            <w:pPr>
              <w:jc w:val="center"/>
              <w:rPr>
                <w:rFonts w:ascii="Garamond" w:hAnsi="Garamond"/>
                <w:b/>
                <w:sz w:val="20"/>
              </w:rPr>
            </w:pPr>
            <w:r w:rsidRPr="005F29A7">
              <w:rPr>
                <w:rFonts w:ascii="Garamond" w:hAnsi="Garamond"/>
                <w:b/>
                <w:sz w:val="20"/>
              </w:rPr>
              <w:t>Description</w:t>
            </w:r>
            <w:r>
              <w:rPr>
                <w:rFonts w:ascii="Garamond" w:hAnsi="Garamond"/>
                <w:b/>
                <w:sz w:val="20"/>
              </w:rPr>
              <w:t xml:space="preserve"> </w:t>
            </w:r>
          </w:p>
        </w:tc>
        <w:tc>
          <w:tcPr>
            <w:tcW w:w="990" w:type="dxa"/>
            <w:shd w:val="clear" w:color="auto" w:fill="C6D9F1" w:themeFill="text2" w:themeFillTint="33"/>
            <w:vAlign w:val="center"/>
          </w:tcPr>
          <w:p w:rsidR="00413879" w:rsidRPr="005F29A7" w:rsidRDefault="00413879" w:rsidP="006A3878">
            <w:pPr>
              <w:jc w:val="center"/>
              <w:rPr>
                <w:rFonts w:ascii="Garamond" w:hAnsi="Garamond"/>
                <w:b/>
                <w:sz w:val="20"/>
              </w:rPr>
            </w:pPr>
            <w:r w:rsidRPr="005F29A7">
              <w:rPr>
                <w:rFonts w:ascii="Garamond" w:hAnsi="Garamond"/>
                <w:b/>
                <w:sz w:val="20"/>
              </w:rPr>
              <w:t>Amount</w:t>
            </w:r>
          </w:p>
        </w:tc>
        <w:tc>
          <w:tcPr>
            <w:tcW w:w="1170" w:type="dxa"/>
            <w:shd w:val="clear" w:color="auto" w:fill="C6D9F1" w:themeFill="text2" w:themeFillTint="33"/>
            <w:vAlign w:val="center"/>
          </w:tcPr>
          <w:p w:rsidR="00413879" w:rsidRPr="005F29A7" w:rsidRDefault="00413879" w:rsidP="006A3878">
            <w:pPr>
              <w:jc w:val="center"/>
              <w:rPr>
                <w:rFonts w:ascii="Garamond" w:hAnsi="Garamond"/>
                <w:b/>
                <w:sz w:val="20"/>
              </w:rPr>
            </w:pPr>
            <w:r w:rsidRPr="005F29A7">
              <w:rPr>
                <w:rFonts w:ascii="Garamond" w:hAnsi="Garamond"/>
                <w:b/>
                <w:sz w:val="20"/>
              </w:rPr>
              <w:t>Period</w:t>
            </w:r>
          </w:p>
        </w:tc>
        <w:tc>
          <w:tcPr>
            <w:tcW w:w="1260" w:type="dxa"/>
            <w:shd w:val="clear" w:color="auto" w:fill="C6D9F1" w:themeFill="text2" w:themeFillTint="33"/>
            <w:vAlign w:val="center"/>
          </w:tcPr>
          <w:p w:rsidR="00413879" w:rsidRPr="005F29A7" w:rsidRDefault="00413879" w:rsidP="006A3878">
            <w:pPr>
              <w:jc w:val="center"/>
              <w:rPr>
                <w:rFonts w:ascii="Garamond" w:hAnsi="Garamond"/>
                <w:b/>
                <w:sz w:val="20"/>
              </w:rPr>
            </w:pPr>
            <w:r>
              <w:rPr>
                <w:rFonts w:ascii="Garamond" w:hAnsi="Garamond"/>
                <w:b/>
                <w:sz w:val="20"/>
              </w:rPr>
              <w:t>Geography of Work</w:t>
            </w:r>
          </w:p>
        </w:tc>
      </w:tr>
    </w:tbl>
    <w:p w:rsidR="00413879" w:rsidRDefault="00413879" w:rsidP="008A7EF5">
      <w:pPr>
        <w:spacing w:after="0" w:line="240" w:lineRule="auto"/>
      </w:pPr>
    </w:p>
    <w:tbl>
      <w:tblPr>
        <w:tblStyle w:val="TableGrid"/>
        <w:tblW w:w="13680" w:type="dxa"/>
        <w:tblInd w:w="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620"/>
        <w:gridCol w:w="1440"/>
        <w:gridCol w:w="1980"/>
        <w:gridCol w:w="5220"/>
        <w:gridCol w:w="990"/>
        <w:gridCol w:w="1170"/>
        <w:gridCol w:w="1260"/>
      </w:tblGrid>
      <w:tr w:rsidR="000B5A04" w:rsidTr="000B5A04">
        <w:tc>
          <w:tcPr>
            <w:tcW w:w="1620" w:type="dxa"/>
            <w:vAlign w:val="center"/>
          </w:tcPr>
          <w:p w:rsidR="000B5A04" w:rsidRPr="000B5A04" w:rsidRDefault="000B5A04" w:rsidP="000B5A04">
            <w:pPr>
              <w:rPr>
                <w:sz w:val="18"/>
              </w:rPr>
            </w:pPr>
            <w:r w:rsidRPr="000B5A04">
              <w:rPr>
                <w:sz w:val="18"/>
              </w:rPr>
              <w:t>Consejo Cívico**</w:t>
            </w:r>
          </w:p>
        </w:tc>
        <w:tc>
          <w:tcPr>
            <w:tcW w:w="1440" w:type="dxa"/>
            <w:vAlign w:val="center"/>
          </w:tcPr>
          <w:p w:rsidR="000B5A04" w:rsidRPr="000B5A04" w:rsidRDefault="000B5A04" w:rsidP="000B5A04">
            <w:pPr>
              <w:rPr>
                <w:sz w:val="18"/>
              </w:rPr>
            </w:pPr>
            <w:r w:rsidRPr="000B5A04">
              <w:rPr>
                <w:sz w:val="18"/>
              </w:rPr>
              <w:t>General Support to Multi-Sectoral Sub-National Level Activists</w:t>
            </w:r>
          </w:p>
        </w:tc>
        <w:tc>
          <w:tcPr>
            <w:tcW w:w="1980" w:type="dxa"/>
            <w:vAlign w:val="center"/>
          </w:tcPr>
          <w:p w:rsidR="000B5A04" w:rsidRPr="000B5A04" w:rsidRDefault="000B5A04" w:rsidP="000B5A04">
            <w:pPr>
              <w:rPr>
                <w:sz w:val="18"/>
              </w:rPr>
            </w:pPr>
            <w:r w:rsidRPr="000B5A04">
              <w:rPr>
                <w:sz w:val="18"/>
              </w:rPr>
              <w:t>Cómo Vamos, Nuevo León</w:t>
            </w:r>
          </w:p>
        </w:tc>
        <w:tc>
          <w:tcPr>
            <w:tcW w:w="5220" w:type="dxa"/>
            <w:vAlign w:val="center"/>
          </w:tcPr>
          <w:p w:rsidR="000B5A04" w:rsidRPr="000B5A04" w:rsidRDefault="00CC0F89" w:rsidP="00287936">
            <w:pPr>
              <w:jc w:val="both"/>
              <w:rPr>
                <w:sz w:val="18"/>
              </w:rPr>
            </w:pPr>
            <w:r w:rsidRPr="00CC0F89">
              <w:rPr>
                <w:sz w:val="18"/>
              </w:rPr>
              <w:t>Grant to monitor municipal and state government actions on indicators around citizen security, transparency and accountability, and opening public spaces to discuss institutional reforms and set specific</w:t>
            </w:r>
            <w:r>
              <w:rPr>
                <w:sz w:val="18"/>
              </w:rPr>
              <w:t xml:space="preserve"> goals for the state level and </w:t>
            </w:r>
            <w:r w:rsidRPr="00CC0F89">
              <w:rPr>
                <w:sz w:val="18"/>
              </w:rPr>
              <w:t>9 municipalities in Nuevo Leon.</w:t>
            </w:r>
          </w:p>
        </w:tc>
        <w:tc>
          <w:tcPr>
            <w:tcW w:w="990" w:type="dxa"/>
            <w:vAlign w:val="center"/>
          </w:tcPr>
          <w:p w:rsidR="000B5A04" w:rsidRPr="000B5A04" w:rsidRDefault="000B5A04" w:rsidP="000B5A04">
            <w:pPr>
              <w:rPr>
                <w:sz w:val="18"/>
              </w:rPr>
            </w:pPr>
            <w:r w:rsidRPr="000B5A04">
              <w:rPr>
                <w:sz w:val="18"/>
              </w:rPr>
              <w:t>Consejo Cívico**</w:t>
            </w:r>
          </w:p>
        </w:tc>
        <w:tc>
          <w:tcPr>
            <w:tcW w:w="1170" w:type="dxa"/>
            <w:vAlign w:val="center"/>
          </w:tcPr>
          <w:p w:rsidR="000B5A04" w:rsidRPr="000B5A04" w:rsidRDefault="000B5A04" w:rsidP="000B5A04">
            <w:pPr>
              <w:rPr>
                <w:sz w:val="18"/>
              </w:rPr>
            </w:pPr>
            <w:r w:rsidRPr="000B5A04">
              <w:rPr>
                <w:sz w:val="18"/>
              </w:rPr>
              <w:t>General Support to Multi-Sectoral Sub-National Level Activists</w:t>
            </w:r>
          </w:p>
        </w:tc>
        <w:tc>
          <w:tcPr>
            <w:tcW w:w="1260" w:type="dxa"/>
            <w:vAlign w:val="center"/>
          </w:tcPr>
          <w:p w:rsidR="000B5A04" w:rsidRPr="000B5A04" w:rsidRDefault="000B5A04" w:rsidP="000B5A04">
            <w:pPr>
              <w:rPr>
                <w:sz w:val="18"/>
              </w:rPr>
            </w:pPr>
            <w:r w:rsidRPr="000B5A04">
              <w:rPr>
                <w:sz w:val="18"/>
              </w:rPr>
              <w:t>Cómo Vamos, Nuevo León</w:t>
            </w:r>
          </w:p>
        </w:tc>
      </w:tr>
      <w:tr w:rsidR="00CC0F89" w:rsidRPr="0070169A" w:rsidTr="006A3878">
        <w:tc>
          <w:tcPr>
            <w:tcW w:w="1620" w:type="dxa"/>
            <w:vAlign w:val="center"/>
          </w:tcPr>
          <w:p w:rsidR="00CC0F89" w:rsidRPr="00810DAB" w:rsidRDefault="00CC0F89" w:rsidP="006A3878">
            <w:pPr>
              <w:rPr>
                <w:sz w:val="18"/>
                <w:szCs w:val="18"/>
              </w:rPr>
            </w:pPr>
          </w:p>
          <w:p w:rsidR="00CC0F89" w:rsidRPr="00810DAB" w:rsidRDefault="00CC0F89" w:rsidP="006A3878">
            <w:pPr>
              <w:rPr>
                <w:sz w:val="18"/>
                <w:szCs w:val="18"/>
              </w:rPr>
            </w:pPr>
            <w:r w:rsidRPr="00810DAB">
              <w:rPr>
                <w:sz w:val="18"/>
                <w:szCs w:val="18"/>
              </w:rPr>
              <w:t xml:space="preserve">Democracia en Red </w:t>
            </w:r>
          </w:p>
        </w:tc>
        <w:tc>
          <w:tcPr>
            <w:tcW w:w="1440" w:type="dxa"/>
            <w:vAlign w:val="center"/>
          </w:tcPr>
          <w:p w:rsidR="00CC0F89" w:rsidRPr="0070169A" w:rsidRDefault="00CC0F89" w:rsidP="006A3878">
            <w:pPr>
              <w:rPr>
                <w:sz w:val="18"/>
              </w:rPr>
            </w:pPr>
            <w:r>
              <w:rPr>
                <w:sz w:val="18"/>
              </w:rPr>
              <w:t>Provide Assistance to a New Generation of Civil Society Activists</w:t>
            </w:r>
          </w:p>
        </w:tc>
        <w:tc>
          <w:tcPr>
            <w:tcW w:w="1980" w:type="dxa"/>
            <w:vAlign w:val="center"/>
          </w:tcPr>
          <w:p w:rsidR="00CC0F89" w:rsidRDefault="00CC0F89" w:rsidP="006A3878">
            <w:pPr>
              <w:rPr>
                <w:sz w:val="18"/>
              </w:rPr>
            </w:pPr>
          </w:p>
          <w:p w:rsidR="00CC0F89" w:rsidRPr="0070169A" w:rsidRDefault="00CC0F89" w:rsidP="006A3878">
            <w:pPr>
              <w:rPr>
                <w:sz w:val="18"/>
              </w:rPr>
            </w:pPr>
            <w:r w:rsidRPr="0070169A">
              <w:rPr>
                <w:sz w:val="18"/>
              </w:rPr>
              <w:t>Latin Americ</w:t>
            </w:r>
            <w:r>
              <w:rPr>
                <w:sz w:val="18"/>
              </w:rPr>
              <w:t xml:space="preserve">a Political Innovation Network </w:t>
            </w:r>
          </w:p>
        </w:tc>
        <w:tc>
          <w:tcPr>
            <w:tcW w:w="5220" w:type="dxa"/>
            <w:vAlign w:val="center"/>
          </w:tcPr>
          <w:p w:rsidR="00CC0F89" w:rsidRPr="0070169A" w:rsidRDefault="00CC0F89" w:rsidP="00287936">
            <w:pPr>
              <w:jc w:val="both"/>
              <w:rPr>
                <w:sz w:val="18"/>
              </w:rPr>
            </w:pPr>
            <w:r>
              <w:rPr>
                <w:sz w:val="18"/>
                <w:szCs w:val="18"/>
              </w:rPr>
              <w:t>See above entry for Asuntos del Sur.</w:t>
            </w:r>
            <w:r w:rsidRPr="00785B9F">
              <w:rPr>
                <w:sz w:val="18"/>
                <w:szCs w:val="18"/>
              </w:rPr>
              <w:t xml:space="preserve"> </w:t>
            </w:r>
          </w:p>
        </w:tc>
        <w:tc>
          <w:tcPr>
            <w:tcW w:w="990" w:type="dxa"/>
            <w:vAlign w:val="center"/>
          </w:tcPr>
          <w:p w:rsidR="00CC0F89" w:rsidRPr="0070169A" w:rsidRDefault="00CC0F89" w:rsidP="006A3878">
            <w:pPr>
              <w:rPr>
                <w:sz w:val="18"/>
              </w:rPr>
            </w:pPr>
            <w:r w:rsidRPr="0070169A">
              <w:rPr>
                <w:sz w:val="18"/>
              </w:rPr>
              <w:t>$49,600</w:t>
            </w:r>
          </w:p>
        </w:tc>
        <w:tc>
          <w:tcPr>
            <w:tcW w:w="1170" w:type="dxa"/>
            <w:vAlign w:val="center"/>
          </w:tcPr>
          <w:p w:rsidR="00CC0F89" w:rsidRPr="0070169A" w:rsidRDefault="00CC0F89" w:rsidP="006A3878">
            <w:pPr>
              <w:rPr>
                <w:sz w:val="18"/>
              </w:rPr>
            </w:pPr>
            <w:r w:rsidRPr="0070169A">
              <w:rPr>
                <w:sz w:val="18"/>
              </w:rPr>
              <w:t>1 November 2015 – 31 October 2016</w:t>
            </w:r>
          </w:p>
        </w:tc>
        <w:tc>
          <w:tcPr>
            <w:tcW w:w="1260" w:type="dxa"/>
            <w:vAlign w:val="center"/>
          </w:tcPr>
          <w:p w:rsidR="00CC0F89" w:rsidRDefault="00CC0F89" w:rsidP="006A3878">
            <w:pPr>
              <w:rPr>
                <w:sz w:val="18"/>
              </w:rPr>
            </w:pPr>
          </w:p>
          <w:p w:rsidR="00CC0F89" w:rsidRPr="0070169A" w:rsidRDefault="00CC0F89" w:rsidP="006A3878">
            <w:pPr>
              <w:rPr>
                <w:sz w:val="18"/>
              </w:rPr>
            </w:pPr>
            <w:r w:rsidRPr="0070169A">
              <w:rPr>
                <w:sz w:val="18"/>
              </w:rPr>
              <w:t>Regional</w:t>
            </w:r>
          </w:p>
        </w:tc>
      </w:tr>
      <w:tr w:rsidR="00CC0F89" w:rsidTr="003F4A82">
        <w:tc>
          <w:tcPr>
            <w:tcW w:w="1620" w:type="dxa"/>
            <w:vAlign w:val="center"/>
          </w:tcPr>
          <w:p w:rsidR="00CC0F89" w:rsidRPr="00810DAB" w:rsidRDefault="00CC0F89" w:rsidP="006A3878">
            <w:pPr>
              <w:rPr>
                <w:sz w:val="18"/>
                <w:szCs w:val="18"/>
                <w:lang w:val="pt-BR"/>
              </w:rPr>
            </w:pPr>
            <w:r>
              <w:rPr>
                <w:sz w:val="18"/>
                <w:szCs w:val="18"/>
                <w:lang w:val="pt-BR"/>
              </w:rPr>
              <w:t>Fundacion Hormigas Argentinas</w:t>
            </w:r>
          </w:p>
        </w:tc>
        <w:tc>
          <w:tcPr>
            <w:tcW w:w="1440" w:type="dxa"/>
            <w:vAlign w:val="center"/>
          </w:tcPr>
          <w:p w:rsidR="00CC0F89" w:rsidRPr="00810DAB" w:rsidRDefault="00CC0F89" w:rsidP="006A3878">
            <w:pPr>
              <w:rPr>
                <w:sz w:val="18"/>
                <w:szCs w:val="18"/>
              </w:rPr>
            </w:pPr>
            <w:r w:rsidRPr="00810DAB">
              <w:rPr>
                <w:sz w:val="18"/>
                <w:szCs w:val="18"/>
              </w:rPr>
              <w:t>Provide Assistance to a New Generation of Civil Society Activists</w:t>
            </w:r>
          </w:p>
        </w:tc>
        <w:tc>
          <w:tcPr>
            <w:tcW w:w="1980" w:type="dxa"/>
            <w:vAlign w:val="center"/>
          </w:tcPr>
          <w:p w:rsidR="00CC0F89" w:rsidRPr="0070169A" w:rsidRDefault="00CC0F89" w:rsidP="006A3878">
            <w:pPr>
              <w:rPr>
                <w:sz w:val="18"/>
              </w:rPr>
            </w:pPr>
            <w:r w:rsidRPr="0070169A">
              <w:rPr>
                <w:sz w:val="18"/>
              </w:rPr>
              <w:t>Global Democracy Network</w:t>
            </w:r>
          </w:p>
        </w:tc>
        <w:tc>
          <w:tcPr>
            <w:tcW w:w="5220" w:type="dxa"/>
            <w:vAlign w:val="center"/>
          </w:tcPr>
          <w:p w:rsidR="00CC0F89" w:rsidRPr="009E1BC3" w:rsidRDefault="00CC0F89" w:rsidP="00287936">
            <w:pPr>
              <w:jc w:val="both"/>
              <w:rPr>
                <w:sz w:val="18"/>
                <w:szCs w:val="18"/>
              </w:rPr>
            </w:pPr>
            <w:r>
              <w:rPr>
                <w:sz w:val="18"/>
                <w:szCs w:val="18"/>
              </w:rPr>
              <w:t>To c</w:t>
            </w:r>
            <w:r w:rsidRPr="00785B9F">
              <w:rPr>
                <w:sz w:val="18"/>
                <w:szCs w:val="18"/>
              </w:rPr>
              <w:t xml:space="preserve">reate a network of actors </w:t>
            </w:r>
            <w:r>
              <w:rPr>
                <w:sz w:val="18"/>
                <w:szCs w:val="18"/>
              </w:rPr>
              <w:t>in Latin America who</w:t>
            </w:r>
            <w:r w:rsidRPr="00785B9F">
              <w:rPr>
                <w:sz w:val="18"/>
                <w:szCs w:val="18"/>
              </w:rPr>
              <w:t xml:space="preserve"> are experimenting with new methods of citizen participation and digital</w:t>
            </w:r>
            <w:r>
              <w:rPr>
                <w:sz w:val="18"/>
                <w:szCs w:val="18"/>
              </w:rPr>
              <w:t xml:space="preserve"> tools to improve democracy </w:t>
            </w:r>
            <w:r w:rsidRPr="00785B9F">
              <w:rPr>
                <w:sz w:val="18"/>
                <w:szCs w:val="18"/>
              </w:rPr>
              <w:t>and the construction o</w:t>
            </w:r>
            <w:r>
              <w:rPr>
                <w:sz w:val="18"/>
                <w:szCs w:val="18"/>
              </w:rPr>
              <w:t>f politics in the digital age.</w:t>
            </w:r>
          </w:p>
        </w:tc>
        <w:tc>
          <w:tcPr>
            <w:tcW w:w="990" w:type="dxa"/>
            <w:vAlign w:val="center"/>
          </w:tcPr>
          <w:p w:rsidR="00CC0F89" w:rsidRPr="0070169A" w:rsidRDefault="00CC0F89" w:rsidP="006A3878">
            <w:pPr>
              <w:rPr>
                <w:sz w:val="18"/>
              </w:rPr>
            </w:pPr>
            <w:r w:rsidRPr="0070169A">
              <w:rPr>
                <w:sz w:val="18"/>
              </w:rPr>
              <w:t>$71,000</w:t>
            </w:r>
          </w:p>
        </w:tc>
        <w:tc>
          <w:tcPr>
            <w:tcW w:w="1170" w:type="dxa"/>
            <w:vAlign w:val="center"/>
          </w:tcPr>
          <w:p w:rsidR="00CC0F89" w:rsidRPr="0070169A" w:rsidRDefault="00CC0F89" w:rsidP="006A3878">
            <w:pPr>
              <w:rPr>
                <w:sz w:val="18"/>
              </w:rPr>
            </w:pPr>
            <w:r w:rsidRPr="0070169A">
              <w:rPr>
                <w:sz w:val="18"/>
              </w:rPr>
              <w:t>1 May 2014 – 30 June 2015</w:t>
            </w:r>
          </w:p>
        </w:tc>
        <w:tc>
          <w:tcPr>
            <w:tcW w:w="1260" w:type="dxa"/>
            <w:vAlign w:val="center"/>
          </w:tcPr>
          <w:p w:rsidR="00CC0F89" w:rsidRPr="0070169A" w:rsidRDefault="00CC0F89" w:rsidP="006A3878">
            <w:pPr>
              <w:rPr>
                <w:sz w:val="18"/>
              </w:rPr>
            </w:pPr>
            <w:r w:rsidRPr="0070169A">
              <w:rPr>
                <w:sz w:val="18"/>
              </w:rPr>
              <w:t>Regional</w:t>
            </w:r>
          </w:p>
        </w:tc>
      </w:tr>
      <w:tr w:rsidR="00CC0F89" w:rsidTr="004767F2">
        <w:tc>
          <w:tcPr>
            <w:tcW w:w="1620" w:type="dxa"/>
            <w:vAlign w:val="center"/>
          </w:tcPr>
          <w:p w:rsidR="00CC0F89" w:rsidRPr="00CC0F89" w:rsidRDefault="00CC0F89" w:rsidP="005D311D">
            <w:pPr>
              <w:rPr>
                <w:sz w:val="18"/>
              </w:rPr>
            </w:pPr>
            <w:r w:rsidRPr="00CC0F89">
              <w:rPr>
                <w:sz w:val="18"/>
              </w:rPr>
              <w:t>Instituto Seva</w:t>
            </w:r>
            <w:r w:rsidR="006336CC">
              <w:rPr>
                <w:sz w:val="18"/>
              </w:rPr>
              <w:t>**</w:t>
            </w:r>
          </w:p>
        </w:tc>
        <w:tc>
          <w:tcPr>
            <w:tcW w:w="1440" w:type="dxa"/>
            <w:shd w:val="clear" w:color="auto" w:fill="auto"/>
            <w:vAlign w:val="center"/>
          </w:tcPr>
          <w:p w:rsidR="00CC0F89" w:rsidRPr="00CC0F89" w:rsidRDefault="00A148FE" w:rsidP="005D311D">
            <w:pPr>
              <w:rPr>
                <w:sz w:val="18"/>
              </w:rPr>
            </w:pPr>
            <w:r w:rsidRPr="00A148FE">
              <w:rPr>
                <w:sz w:val="18"/>
              </w:rPr>
              <w:t>Provide Assistance to a New Generation of Civil Society Activists</w:t>
            </w:r>
          </w:p>
        </w:tc>
        <w:tc>
          <w:tcPr>
            <w:tcW w:w="1980" w:type="dxa"/>
            <w:vAlign w:val="center"/>
          </w:tcPr>
          <w:p w:rsidR="00CC0F89" w:rsidRPr="00CC0F89" w:rsidRDefault="00A148FE" w:rsidP="005D311D">
            <w:pPr>
              <w:rPr>
                <w:sz w:val="18"/>
              </w:rPr>
            </w:pPr>
            <w:r w:rsidRPr="00A148FE">
              <w:rPr>
                <w:sz w:val="18"/>
              </w:rPr>
              <w:t>Open Innovation Challenge for the Development Agenda in Sao Paulo</w:t>
            </w:r>
          </w:p>
        </w:tc>
        <w:tc>
          <w:tcPr>
            <w:tcW w:w="5220" w:type="dxa"/>
            <w:vAlign w:val="center"/>
          </w:tcPr>
          <w:p w:rsidR="00CC0F89" w:rsidRPr="00CC0F89" w:rsidRDefault="00A148FE" w:rsidP="00287936">
            <w:pPr>
              <w:jc w:val="both"/>
              <w:rPr>
                <w:sz w:val="18"/>
              </w:rPr>
            </w:pPr>
            <w:r>
              <w:rPr>
                <w:sz w:val="18"/>
              </w:rPr>
              <w:t>To</w:t>
            </w:r>
            <w:r w:rsidRPr="00A148FE">
              <w:rPr>
                <w:sz w:val="18"/>
              </w:rPr>
              <w:t xml:space="preserve"> engage digital civil society in the creation and monitoring of a development agenda via indicators and targets in Sao Paulo, Brazil on topics related to Goal 16 of the Post-2015 Sustainable Development Agenda on governance, justice, and peace and security.</w:t>
            </w:r>
          </w:p>
        </w:tc>
        <w:tc>
          <w:tcPr>
            <w:tcW w:w="990" w:type="dxa"/>
            <w:vAlign w:val="center"/>
          </w:tcPr>
          <w:p w:rsidR="00CC0F89" w:rsidRPr="00CC0F89" w:rsidRDefault="00A148FE" w:rsidP="005D311D">
            <w:pPr>
              <w:rPr>
                <w:sz w:val="18"/>
              </w:rPr>
            </w:pPr>
            <w:r>
              <w:rPr>
                <w:sz w:val="18"/>
              </w:rPr>
              <w:t>$79,996</w:t>
            </w:r>
          </w:p>
        </w:tc>
        <w:tc>
          <w:tcPr>
            <w:tcW w:w="1170" w:type="dxa"/>
            <w:vAlign w:val="center"/>
          </w:tcPr>
          <w:p w:rsidR="00CC0F89" w:rsidRPr="00CC0F89" w:rsidRDefault="00A148FE" w:rsidP="005D311D">
            <w:pPr>
              <w:rPr>
                <w:sz w:val="18"/>
              </w:rPr>
            </w:pPr>
            <w:r>
              <w:rPr>
                <w:sz w:val="18"/>
              </w:rPr>
              <w:t>1 January 2015 – 31 March 2016</w:t>
            </w:r>
          </w:p>
        </w:tc>
        <w:tc>
          <w:tcPr>
            <w:tcW w:w="1260" w:type="dxa"/>
            <w:vAlign w:val="center"/>
          </w:tcPr>
          <w:p w:rsidR="00CC0F89" w:rsidRPr="00CC0F89" w:rsidRDefault="00A148FE" w:rsidP="005D311D">
            <w:pPr>
              <w:rPr>
                <w:sz w:val="18"/>
              </w:rPr>
            </w:pPr>
            <w:r>
              <w:rPr>
                <w:sz w:val="18"/>
              </w:rPr>
              <w:t>Brazil</w:t>
            </w:r>
          </w:p>
        </w:tc>
      </w:tr>
      <w:tr w:rsidR="00CC0F89" w:rsidRPr="00296773" w:rsidTr="0043082C">
        <w:tc>
          <w:tcPr>
            <w:tcW w:w="1620" w:type="dxa"/>
            <w:vMerge w:val="restart"/>
            <w:vAlign w:val="center"/>
          </w:tcPr>
          <w:p w:rsidR="00CC0F89" w:rsidRPr="00810DAB" w:rsidRDefault="00CC0F89" w:rsidP="000E088D">
            <w:pPr>
              <w:rPr>
                <w:sz w:val="18"/>
                <w:szCs w:val="18"/>
                <w:lang w:val="pt-BR"/>
              </w:rPr>
            </w:pPr>
            <w:r w:rsidRPr="00810DAB">
              <w:rPr>
                <w:sz w:val="18"/>
                <w:lang w:val="pt-BR"/>
              </w:rPr>
              <w:t>Instituto Tecnologia e Sociedade (ITS)</w:t>
            </w:r>
          </w:p>
        </w:tc>
        <w:tc>
          <w:tcPr>
            <w:tcW w:w="1440" w:type="dxa"/>
            <w:vMerge w:val="restart"/>
            <w:vAlign w:val="center"/>
          </w:tcPr>
          <w:p w:rsidR="00CC0F89" w:rsidRPr="00296773" w:rsidRDefault="00CC0F89" w:rsidP="000E088D">
            <w:pPr>
              <w:rPr>
                <w:sz w:val="18"/>
              </w:rPr>
            </w:pPr>
            <w:r>
              <w:rPr>
                <w:sz w:val="18"/>
              </w:rPr>
              <w:t>Provide Assistance to a New Generation of Civil Society Activists</w:t>
            </w:r>
          </w:p>
        </w:tc>
        <w:tc>
          <w:tcPr>
            <w:tcW w:w="1980" w:type="dxa"/>
            <w:vAlign w:val="center"/>
          </w:tcPr>
          <w:p w:rsidR="00CC0F89" w:rsidRPr="00296773" w:rsidRDefault="00CC0F89" w:rsidP="000E088D">
            <w:pPr>
              <w:rPr>
                <w:sz w:val="18"/>
              </w:rPr>
            </w:pPr>
            <w:r w:rsidRPr="00296773">
              <w:rPr>
                <w:sz w:val="18"/>
              </w:rPr>
              <w:t>General Support</w:t>
            </w:r>
          </w:p>
        </w:tc>
        <w:tc>
          <w:tcPr>
            <w:tcW w:w="5220" w:type="dxa"/>
            <w:vAlign w:val="center"/>
          </w:tcPr>
          <w:p w:rsidR="00CC0F89" w:rsidRPr="00296773" w:rsidRDefault="00CC0F89" w:rsidP="00287936">
            <w:pPr>
              <w:jc w:val="both"/>
              <w:rPr>
                <w:sz w:val="18"/>
              </w:rPr>
            </w:pPr>
            <w:r w:rsidRPr="00296773">
              <w:rPr>
                <w:sz w:val="18"/>
              </w:rPr>
              <w:t>T</w:t>
            </w:r>
            <w:r>
              <w:rPr>
                <w:sz w:val="18"/>
              </w:rPr>
              <w:t xml:space="preserve">ogether with the Information Program </w:t>
            </w:r>
            <w:r w:rsidRPr="00296773">
              <w:rPr>
                <w:sz w:val="18"/>
              </w:rPr>
              <w:t>encourage Brazil’s government to respond to opportunities pro</w:t>
            </w:r>
            <w:r>
              <w:rPr>
                <w:sz w:val="18"/>
              </w:rPr>
              <w:t>vided by technology and promote its benefits equal</w:t>
            </w:r>
            <w:r w:rsidRPr="00296773">
              <w:rPr>
                <w:sz w:val="18"/>
              </w:rPr>
              <w:t xml:space="preserve"> across society. Analyze legal, social, economic and cultural dimensions of technology and advocate for public policies which protect privacy, freedom of expression and access to knowledge. Offer training to individuals and institutions to enable them to understand the opportunities of technology for advocacy.</w:t>
            </w:r>
          </w:p>
        </w:tc>
        <w:tc>
          <w:tcPr>
            <w:tcW w:w="990" w:type="dxa"/>
            <w:vAlign w:val="center"/>
          </w:tcPr>
          <w:p w:rsidR="00CC0F89" w:rsidRPr="00296773" w:rsidRDefault="00CC0F89" w:rsidP="000E088D">
            <w:pPr>
              <w:rPr>
                <w:sz w:val="18"/>
              </w:rPr>
            </w:pPr>
            <w:r w:rsidRPr="00296773">
              <w:rPr>
                <w:sz w:val="18"/>
              </w:rPr>
              <w:t>$200,000</w:t>
            </w:r>
          </w:p>
        </w:tc>
        <w:tc>
          <w:tcPr>
            <w:tcW w:w="1170" w:type="dxa"/>
            <w:vAlign w:val="center"/>
          </w:tcPr>
          <w:p w:rsidR="00CC0F89" w:rsidRPr="00296773" w:rsidRDefault="00CC0F89" w:rsidP="000E088D">
            <w:pPr>
              <w:rPr>
                <w:sz w:val="18"/>
              </w:rPr>
            </w:pPr>
            <w:r w:rsidRPr="00296773">
              <w:rPr>
                <w:sz w:val="18"/>
              </w:rPr>
              <w:t>1 August 2015 - 31 July 2017</w:t>
            </w:r>
          </w:p>
        </w:tc>
        <w:tc>
          <w:tcPr>
            <w:tcW w:w="1260" w:type="dxa"/>
            <w:vAlign w:val="center"/>
          </w:tcPr>
          <w:p w:rsidR="00CC0F89" w:rsidRPr="00296773" w:rsidRDefault="00CC0F89" w:rsidP="000E088D">
            <w:pPr>
              <w:rPr>
                <w:sz w:val="18"/>
              </w:rPr>
            </w:pPr>
            <w:r w:rsidRPr="00296773">
              <w:rPr>
                <w:sz w:val="18"/>
              </w:rPr>
              <w:t>Brazil</w:t>
            </w:r>
          </w:p>
        </w:tc>
      </w:tr>
      <w:tr w:rsidR="00CC0F89" w:rsidRPr="00BE7252" w:rsidTr="0043082C">
        <w:tc>
          <w:tcPr>
            <w:tcW w:w="1620" w:type="dxa"/>
            <w:vMerge/>
            <w:vAlign w:val="center"/>
          </w:tcPr>
          <w:p w:rsidR="00CC0F89" w:rsidRPr="00810DAB" w:rsidRDefault="00CC0F89" w:rsidP="000E088D">
            <w:pPr>
              <w:rPr>
                <w:sz w:val="18"/>
                <w:szCs w:val="18"/>
                <w:lang w:val="pt-BR"/>
              </w:rPr>
            </w:pPr>
          </w:p>
        </w:tc>
        <w:tc>
          <w:tcPr>
            <w:tcW w:w="1440" w:type="dxa"/>
            <w:vMerge/>
            <w:vAlign w:val="center"/>
          </w:tcPr>
          <w:p w:rsidR="00CC0F89" w:rsidRDefault="00CC0F89" w:rsidP="000E088D">
            <w:pPr>
              <w:rPr>
                <w:sz w:val="18"/>
                <w:szCs w:val="18"/>
                <w:lang w:val="pt-BR"/>
              </w:rPr>
            </w:pPr>
          </w:p>
        </w:tc>
        <w:tc>
          <w:tcPr>
            <w:tcW w:w="1980" w:type="dxa"/>
            <w:vAlign w:val="center"/>
          </w:tcPr>
          <w:p w:rsidR="00CC0F89" w:rsidRPr="00A148FE" w:rsidRDefault="00CC0F89" w:rsidP="000E088D">
            <w:pPr>
              <w:rPr>
                <w:sz w:val="18"/>
                <w:szCs w:val="18"/>
              </w:rPr>
            </w:pPr>
            <w:r w:rsidRPr="004834DF">
              <w:rPr>
                <w:sz w:val="18"/>
                <w:szCs w:val="18"/>
              </w:rPr>
              <w:t>Transição.br</w:t>
            </w:r>
            <w:r w:rsidR="00A148FE">
              <w:rPr>
                <w:sz w:val="18"/>
                <w:szCs w:val="18"/>
              </w:rPr>
              <w:t xml:space="preserve"> </w:t>
            </w:r>
          </w:p>
        </w:tc>
        <w:tc>
          <w:tcPr>
            <w:tcW w:w="5220" w:type="dxa"/>
            <w:vAlign w:val="center"/>
          </w:tcPr>
          <w:p w:rsidR="00CC0F89" w:rsidRPr="00661B1D" w:rsidRDefault="00CC0F89" w:rsidP="00287936">
            <w:pPr>
              <w:jc w:val="both"/>
              <w:rPr>
                <w:sz w:val="18"/>
                <w:szCs w:val="18"/>
              </w:rPr>
            </w:pPr>
            <w:r>
              <w:rPr>
                <w:sz w:val="18"/>
                <w:szCs w:val="18"/>
              </w:rPr>
              <w:t>To d</w:t>
            </w:r>
            <w:r w:rsidRPr="00661B1D">
              <w:rPr>
                <w:sz w:val="18"/>
                <w:szCs w:val="18"/>
              </w:rPr>
              <w:t xml:space="preserve">esign and implement </w:t>
            </w:r>
            <w:hyperlink r:id="rId13" w:history="1">
              <w:r w:rsidRPr="00F73A29">
                <w:rPr>
                  <w:rStyle w:val="Hyperlink"/>
                  <w:sz w:val="18"/>
                  <w:szCs w:val="18"/>
                </w:rPr>
                <w:t>https://www.mudamos.org/</w:t>
              </w:r>
            </w:hyperlink>
            <w:r>
              <w:rPr>
                <w:sz w:val="18"/>
                <w:szCs w:val="18"/>
              </w:rPr>
              <w:t xml:space="preserve">, </w:t>
            </w:r>
            <w:r w:rsidRPr="00661B1D">
              <w:rPr>
                <w:sz w:val="18"/>
                <w:szCs w:val="18"/>
              </w:rPr>
              <w:t xml:space="preserve">an online platform for collecting </w:t>
            </w:r>
            <w:r>
              <w:rPr>
                <w:sz w:val="18"/>
                <w:szCs w:val="18"/>
              </w:rPr>
              <w:t xml:space="preserve">broad citizen engagement </w:t>
            </w:r>
            <w:r w:rsidRPr="00661B1D">
              <w:rPr>
                <w:sz w:val="18"/>
                <w:szCs w:val="18"/>
              </w:rPr>
              <w:t>on topics of public interest, such</w:t>
            </w:r>
            <w:r>
              <w:rPr>
                <w:sz w:val="18"/>
                <w:szCs w:val="18"/>
              </w:rPr>
              <w:t xml:space="preserve"> as security laws and political and institutional </w:t>
            </w:r>
            <w:r w:rsidRPr="00661B1D">
              <w:rPr>
                <w:sz w:val="18"/>
                <w:szCs w:val="18"/>
              </w:rPr>
              <w:t>reform in Brazil, and helping to construct democratic solutions.  Create an informed debate on these issues with the participation of various sectors of society.</w:t>
            </w:r>
          </w:p>
        </w:tc>
        <w:tc>
          <w:tcPr>
            <w:tcW w:w="990" w:type="dxa"/>
            <w:vAlign w:val="center"/>
          </w:tcPr>
          <w:p w:rsidR="00CC0F89" w:rsidRPr="004834DF" w:rsidRDefault="00CC0F89" w:rsidP="000E088D">
            <w:pPr>
              <w:rPr>
                <w:color w:val="1F497D" w:themeColor="text2"/>
                <w:sz w:val="18"/>
                <w:szCs w:val="18"/>
              </w:rPr>
            </w:pPr>
            <w:r w:rsidRPr="004834DF">
              <w:rPr>
                <w:sz w:val="18"/>
                <w:szCs w:val="18"/>
              </w:rPr>
              <w:t>$150,000</w:t>
            </w:r>
          </w:p>
        </w:tc>
        <w:tc>
          <w:tcPr>
            <w:tcW w:w="1170" w:type="dxa"/>
            <w:vAlign w:val="center"/>
          </w:tcPr>
          <w:p w:rsidR="00CC0F89" w:rsidRPr="004834DF" w:rsidRDefault="00CC0F89" w:rsidP="000E088D">
            <w:pPr>
              <w:rPr>
                <w:color w:val="1F497D" w:themeColor="text2"/>
                <w:sz w:val="18"/>
                <w:szCs w:val="18"/>
              </w:rPr>
            </w:pPr>
            <w:r w:rsidRPr="004834DF">
              <w:rPr>
                <w:sz w:val="18"/>
                <w:szCs w:val="18"/>
              </w:rPr>
              <w:t>1 October 2014-31 January 2016</w:t>
            </w:r>
          </w:p>
        </w:tc>
        <w:tc>
          <w:tcPr>
            <w:tcW w:w="1260" w:type="dxa"/>
            <w:vAlign w:val="center"/>
          </w:tcPr>
          <w:p w:rsidR="00CC0F89" w:rsidRPr="004834DF" w:rsidRDefault="00CC0F89" w:rsidP="000E088D">
            <w:pPr>
              <w:rPr>
                <w:sz w:val="18"/>
                <w:szCs w:val="18"/>
              </w:rPr>
            </w:pPr>
            <w:r>
              <w:rPr>
                <w:sz w:val="18"/>
                <w:szCs w:val="18"/>
              </w:rPr>
              <w:t>Brazil</w:t>
            </w:r>
          </w:p>
        </w:tc>
      </w:tr>
      <w:tr w:rsidR="00CC0F89" w:rsidRPr="00C7649A" w:rsidTr="0043082C">
        <w:tc>
          <w:tcPr>
            <w:tcW w:w="1620" w:type="dxa"/>
            <w:vAlign w:val="center"/>
          </w:tcPr>
          <w:p w:rsidR="00CC0F89" w:rsidRPr="00810DAB" w:rsidRDefault="00CC0F89" w:rsidP="00C8340E">
            <w:r w:rsidRPr="00810DAB">
              <w:rPr>
                <w:sz w:val="18"/>
              </w:rPr>
              <w:t>Organization of American States (OAS)*</w:t>
            </w:r>
          </w:p>
        </w:tc>
        <w:tc>
          <w:tcPr>
            <w:tcW w:w="1440" w:type="dxa"/>
            <w:vAlign w:val="center"/>
          </w:tcPr>
          <w:p w:rsidR="00CC0F89" w:rsidRPr="00CA4EB6" w:rsidRDefault="00CC0F89" w:rsidP="00C8340E">
            <w:r>
              <w:rPr>
                <w:sz w:val="18"/>
              </w:rPr>
              <w:t>Provide Assistance to a New Generation of Civil Society Activists</w:t>
            </w:r>
          </w:p>
        </w:tc>
        <w:tc>
          <w:tcPr>
            <w:tcW w:w="1980" w:type="dxa"/>
            <w:vAlign w:val="center"/>
          </w:tcPr>
          <w:p w:rsidR="00CC0F89" w:rsidRPr="00CA4EB6" w:rsidRDefault="00CC0F89" w:rsidP="00C8340E">
            <w:r w:rsidRPr="00330673">
              <w:rPr>
                <w:sz w:val="18"/>
              </w:rPr>
              <w:t>Empowering Agents of Change - The OAS Fellowship on Open Government in the Americas</w:t>
            </w:r>
          </w:p>
        </w:tc>
        <w:tc>
          <w:tcPr>
            <w:tcW w:w="5220" w:type="dxa"/>
            <w:vAlign w:val="center"/>
          </w:tcPr>
          <w:p w:rsidR="00CC0F89" w:rsidRPr="00CA4EB6" w:rsidRDefault="00CC0F89" w:rsidP="00287936">
            <w:pPr>
              <w:jc w:val="both"/>
            </w:pPr>
            <w:r>
              <w:rPr>
                <w:sz w:val="18"/>
              </w:rPr>
              <w:t xml:space="preserve">To support to </w:t>
            </w:r>
            <w:r w:rsidRPr="00CD5AF0">
              <w:rPr>
                <w:sz w:val="18"/>
              </w:rPr>
              <w:t>the n</w:t>
            </w:r>
            <w:r>
              <w:rPr>
                <w:sz w:val="18"/>
              </w:rPr>
              <w:t>ew OAS School of Governance with the open government fellowship p</w:t>
            </w:r>
            <w:r w:rsidRPr="00CD5AF0">
              <w:rPr>
                <w:sz w:val="18"/>
              </w:rPr>
              <w:t xml:space="preserve">rogram comprised of 25 young </w:t>
            </w:r>
            <w:r>
              <w:rPr>
                <w:sz w:val="18"/>
              </w:rPr>
              <w:t xml:space="preserve">innovators </w:t>
            </w:r>
            <w:r w:rsidRPr="00CD5AF0">
              <w:rPr>
                <w:sz w:val="18"/>
              </w:rPr>
              <w:t xml:space="preserve">from </w:t>
            </w:r>
            <w:r>
              <w:rPr>
                <w:sz w:val="18"/>
              </w:rPr>
              <w:t>diverse sectors.</w:t>
            </w:r>
          </w:p>
        </w:tc>
        <w:tc>
          <w:tcPr>
            <w:tcW w:w="990" w:type="dxa"/>
            <w:vAlign w:val="center"/>
          </w:tcPr>
          <w:p w:rsidR="00CC0F89" w:rsidRPr="00330673" w:rsidRDefault="00CC0F89" w:rsidP="00C8340E">
            <w:pPr>
              <w:rPr>
                <w:sz w:val="18"/>
              </w:rPr>
            </w:pPr>
            <w:r w:rsidRPr="00330673">
              <w:rPr>
                <w:sz w:val="18"/>
              </w:rPr>
              <w:t>$ 150,000</w:t>
            </w:r>
          </w:p>
        </w:tc>
        <w:tc>
          <w:tcPr>
            <w:tcW w:w="1170" w:type="dxa"/>
            <w:vAlign w:val="center"/>
          </w:tcPr>
          <w:p w:rsidR="00CC0F89" w:rsidRPr="00330673" w:rsidRDefault="00CC0F89" w:rsidP="00C8340E">
            <w:pPr>
              <w:rPr>
                <w:sz w:val="18"/>
              </w:rPr>
            </w:pPr>
            <w:r w:rsidRPr="00330673">
              <w:rPr>
                <w:sz w:val="18"/>
              </w:rPr>
              <w:t>1 January 2016 – 31 December 2016</w:t>
            </w:r>
          </w:p>
        </w:tc>
        <w:tc>
          <w:tcPr>
            <w:tcW w:w="1260" w:type="dxa"/>
            <w:vAlign w:val="center"/>
          </w:tcPr>
          <w:p w:rsidR="00CC0F89" w:rsidRPr="00330673" w:rsidRDefault="00CC0F89" w:rsidP="00C8340E">
            <w:pPr>
              <w:rPr>
                <w:sz w:val="18"/>
              </w:rPr>
            </w:pPr>
            <w:r w:rsidRPr="00330673">
              <w:rPr>
                <w:sz w:val="18"/>
              </w:rPr>
              <w:t>Regional</w:t>
            </w:r>
          </w:p>
        </w:tc>
      </w:tr>
    </w:tbl>
    <w:p w:rsidR="00A148FE" w:rsidRDefault="00A148FE"/>
    <w:tbl>
      <w:tblPr>
        <w:tblStyle w:val="TableGrid"/>
        <w:tblpPr w:leftFromText="180" w:rightFromText="180" w:vertAnchor="page" w:horzAnchor="margin" w:tblpX="468" w:tblpY="1516"/>
        <w:tblW w:w="136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638"/>
        <w:gridCol w:w="1440"/>
        <w:gridCol w:w="1980"/>
        <w:gridCol w:w="5220"/>
        <w:gridCol w:w="990"/>
        <w:gridCol w:w="1170"/>
        <w:gridCol w:w="1260"/>
      </w:tblGrid>
      <w:tr w:rsidR="00CC0F89" w:rsidRPr="00C7649A" w:rsidTr="00A148FE">
        <w:tc>
          <w:tcPr>
            <w:tcW w:w="1638" w:type="dxa"/>
            <w:vMerge w:val="restart"/>
            <w:vAlign w:val="center"/>
          </w:tcPr>
          <w:p w:rsidR="00CC0F89" w:rsidRPr="00CC0F89" w:rsidRDefault="00CC0F89" w:rsidP="00A148FE">
            <w:pPr>
              <w:rPr>
                <w:sz w:val="18"/>
              </w:rPr>
            </w:pPr>
            <w:r w:rsidRPr="00CC0F89">
              <w:rPr>
                <w:sz w:val="18"/>
              </w:rPr>
              <w:t>Rede Nossa São Paulo**</w:t>
            </w:r>
          </w:p>
        </w:tc>
        <w:tc>
          <w:tcPr>
            <w:tcW w:w="1440" w:type="dxa"/>
            <w:vAlign w:val="center"/>
          </w:tcPr>
          <w:p w:rsidR="00CC0F89" w:rsidRPr="00CC0F89" w:rsidRDefault="00CC0F89" w:rsidP="00A148FE">
            <w:pPr>
              <w:rPr>
                <w:sz w:val="18"/>
              </w:rPr>
            </w:pPr>
            <w:r w:rsidRPr="00CC0F89">
              <w:rPr>
                <w:sz w:val="18"/>
              </w:rPr>
              <w:t>General Support to Multi-Sectoral Sub-National Level Activists</w:t>
            </w:r>
          </w:p>
        </w:tc>
        <w:tc>
          <w:tcPr>
            <w:tcW w:w="1980" w:type="dxa"/>
            <w:vAlign w:val="center"/>
          </w:tcPr>
          <w:p w:rsidR="00CC0F89" w:rsidRPr="00CC0F89" w:rsidRDefault="00CC0F89" w:rsidP="00A148FE">
            <w:pPr>
              <w:rPr>
                <w:sz w:val="18"/>
              </w:rPr>
            </w:pPr>
            <w:r w:rsidRPr="00CC0F89">
              <w:rPr>
                <w:sz w:val="18"/>
              </w:rPr>
              <w:t>General Support/ Project on Post-2015 Indicators</w:t>
            </w:r>
          </w:p>
        </w:tc>
        <w:tc>
          <w:tcPr>
            <w:tcW w:w="5220" w:type="dxa"/>
            <w:vAlign w:val="center"/>
          </w:tcPr>
          <w:p w:rsidR="00CC0F89" w:rsidRPr="00CC0F89" w:rsidRDefault="00CC0F89" w:rsidP="00287936">
            <w:pPr>
              <w:jc w:val="both"/>
              <w:rPr>
                <w:sz w:val="18"/>
              </w:rPr>
            </w:pPr>
            <w:r w:rsidRPr="00CC0F89">
              <w:rPr>
                <w:sz w:val="18"/>
              </w:rPr>
              <w:t xml:space="preserve">To develop and measure indicators related to governance, justice and safety in 60 Brazilian municipalities tied to the process of discussions and negotiations regarding the post-2015 SDG agenda in Brazil. Rede Nossa Sao Paulo also advocated for reforms to democratic institutions and practices at Brazil’s municipal-level. </w:t>
            </w:r>
          </w:p>
        </w:tc>
        <w:tc>
          <w:tcPr>
            <w:tcW w:w="990" w:type="dxa"/>
            <w:vAlign w:val="center"/>
          </w:tcPr>
          <w:p w:rsidR="00CC0F89" w:rsidRPr="00CC0F89" w:rsidRDefault="00CC0F89" w:rsidP="00A148FE">
            <w:pPr>
              <w:rPr>
                <w:sz w:val="18"/>
              </w:rPr>
            </w:pPr>
            <w:r w:rsidRPr="00CC0F89">
              <w:rPr>
                <w:sz w:val="18"/>
              </w:rPr>
              <w:t>$400,000</w:t>
            </w:r>
          </w:p>
        </w:tc>
        <w:tc>
          <w:tcPr>
            <w:tcW w:w="1170" w:type="dxa"/>
            <w:vAlign w:val="center"/>
          </w:tcPr>
          <w:p w:rsidR="00CC0F89" w:rsidRPr="00CC0F89" w:rsidRDefault="00CC0F89" w:rsidP="00A148FE">
            <w:pPr>
              <w:rPr>
                <w:sz w:val="18"/>
              </w:rPr>
            </w:pPr>
            <w:r w:rsidRPr="00CC0F89">
              <w:rPr>
                <w:sz w:val="18"/>
              </w:rPr>
              <w:t>1 November 2015 – 31 October 2016</w:t>
            </w:r>
          </w:p>
        </w:tc>
        <w:tc>
          <w:tcPr>
            <w:tcW w:w="1260" w:type="dxa"/>
            <w:vAlign w:val="center"/>
          </w:tcPr>
          <w:p w:rsidR="00CC0F89" w:rsidRPr="00CC0F89" w:rsidRDefault="00CC0F89" w:rsidP="00A148FE">
            <w:pPr>
              <w:rPr>
                <w:sz w:val="18"/>
              </w:rPr>
            </w:pPr>
            <w:r w:rsidRPr="00CC0F89">
              <w:rPr>
                <w:sz w:val="18"/>
              </w:rPr>
              <w:t>Brazil</w:t>
            </w:r>
          </w:p>
        </w:tc>
      </w:tr>
      <w:tr w:rsidR="00CC0F89" w:rsidRPr="00C7649A" w:rsidTr="00A148FE">
        <w:tc>
          <w:tcPr>
            <w:tcW w:w="1638" w:type="dxa"/>
            <w:vMerge/>
            <w:vAlign w:val="center"/>
          </w:tcPr>
          <w:p w:rsidR="00CC0F89" w:rsidRPr="00CC0F89" w:rsidRDefault="00CC0F89" w:rsidP="00A148FE">
            <w:pPr>
              <w:rPr>
                <w:sz w:val="18"/>
              </w:rPr>
            </w:pPr>
          </w:p>
        </w:tc>
        <w:tc>
          <w:tcPr>
            <w:tcW w:w="1440" w:type="dxa"/>
            <w:vAlign w:val="center"/>
          </w:tcPr>
          <w:p w:rsidR="00CC0F89" w:rsidRPr="00CC0F89" w:rsidRDefault="00CC0F89" w:rsidP="00A148FE">
            <w:pPr>
              <w:rPr>
                <w:sz w:val="18"/>
              </w:rPr>
            </w:pPr>
            <w:r w:rsidRPr="00CC0F89">
              <w:rPr>
                <w:sz w:val="18"/>
              </w:rPr>
              <w:t>General Support to Multi-Sectoral Sub-National Level Activists</w:t>
            </w:r>
          </w:p>
        </w:tc>
        <w:tc>
          <w:tcPr>
            <w:tcW w:w="1980" w:type="dxa"/>
            <w:vAlign w:val="center"/>
          </w:tcPr>
          <w:p w:rsidR="00CC0F89" w:rsidRPr="00CC0F89" w:rsidRDefault="00CC0F89" w:rsidP="00A148FE">
            <w:pPr>
              <w:rPr>
                <w:sz w:val="18"/>
              </w:rPr>
            </w:pPr>
            <w:r w:rsidRPr="00CC0F89">
              <w:rPr>
                <w:sz w:val="18"/>
              </w:rPr>
              <w:t>Participatory Democracy for Sustainable Cities</w:t>
            </w:r>
          </w:p>
        </w:tc>
        <w:tc>
          <w:tcPr>
            <w:tcW w:w="5220" w:type="dxa"/>
            <w:vAlign w:val="center"/>
          </w:tcPr>
          <w:p w:rsidR="00CC0F89" w:rsidRPr="00CC0F89" w:rsidRDefault="00CC0F89" w:rsidP="00287936">
            <w:pPr>
              <w:jc w:val="both"/>
              <w:rPr>
                <w:sz w:val="18"/>
              </w:rPr>
            </w:pPr>
            <w:r w:rsidRPr="00CC0F89">
              <w:rPr>
                <w:sz w:val="18"/>
              </w:rPr>
              <w:t xml:space="preserve">To strengthen a multi-stakeholder process to monitor government actions on 145 indicators around citizen security, transparency and accountability, and opening public spaces to discuss institutional reforms and set specific goals in 96 districts of Sao Paulo. </w:t>
            </w:r>
          </w:p>
        </w:tc>
        <w:tc>
          <w:tcPr>
            <w:tcW w:w="990" w:type="dxa"/>
            <w:vAlign w:val="center"/>
          </w:tcPr>
          <w:p w:rsidR="00CC0F89" w:rsidRPr="00CC0F89" w:rsidRDefault="00CC0F89" w:rsidP="00A148FE">
            <w:pPr>
              <w:rPr>
                <w:sz w:val="18"/>
              </w:rPr>
            </w:pPr>
            <w:r w:rsidRPr="00CC0F89">
              <w:rPr>
                <w:sz w:val="18"/>
              </w:rPr>
              <w:t>$ 100,000</w:t>
            </w:r>
          </w:p>
        </w:tc>
        <w:tc>
          <w:tcPr>
            <w:tcW w:w="1170" w:type="dxa"/>
            <w:vAlign w:val="center"/>
          </w:tcPr>
          <w:p w:rsidR="00CC0F89" w:rsidRPr="00CC0F89" w:rsidRDefault="00CC0F89" w:rsidP="00A148FE">
            <w:pPr>
              <w:rPr>
                <w:sz w:val="18"/>
              </w:rPr>
            </w:pPr>
            <w:r w:rsidRPr="00CC0F89">
              <w:rPr>
                <w:sz w:val="18"/>
              </w:rPr>
              <w:t>1 April 2014 – 31 March 2015</w:t>
            </w:r>
          </w:p>
        </w:tc>
        <w:tc>
          <w:tcPr>
            <w:tcW w:w="1260" w:type="dxa"/>
            <w:vAlign w:val="center"/>
          </w:tcPr>
          <w:p w:rsidR="00CC0F89" w:rsidRPr="00CC0F89" w:rsidRDefault="00CC0F89" w:rsidP="00A148FE">
            <w:pPr>
              <w:rPr>
                <w:sz w:val="18"/>
              </w:rPr>
            </w:pPr>
            <w:r w:rsidRPr="00CC0F89">
              <w:rPr>
                <w:sz w:val="18"/>
              </w:rPr>
              <w:t>Brazil</w:t>
            </w:r>
          </w:p>
        </w:tc>
      </w:tr>
      <w:tr w:rsidR="00CC0F89" w:rsidRPr="00C7649A" w:rsidTr="00A148FE">
        <w:tc>
          <w:tcPr>
            <w:tcW w:w="1638" w:type="dxa"/>
            <w:vAlign w:val="center"/>
          </w:tcPr>
          <w:p w:rsidR="00CC0F89" w:rsidRPr="00CC0F89" w:rsidRDefault="00CC0F89" w:rsidP="00A148FE">
            <w:pPr>
              <w:rPr>
                <w:sz w:val="18"/>
              </w:rPr>
            </w:pPr>
            <w:r w:rsidRPr="00CC0F89">
              <w:rPr>
                <w:sz w:val="18"/>
              </w:rPr>
              <w:t>Trust for the Americas/ Organization of American States (OAS)*</w:t>
            </w:r>
          </w:p>
        </w:tc>
        <w:tc>
          <w:tcPr>
            <w:tcW w:w="1440" w:type="dxa"/>
            <w:vAlign w:val="center"/>
          </w:tcPr>
          <w:p w:rsidR="00CC0F89" w:rsidRPr="00CC0F89" w:rsidRDefault="00CC0F89" w:rsidP="00A148FE">
            <w:pPr>
              <w:rPr>
                <w:sz w:val="18"/>
              </w:rPr>
            </w:pPr>
            <w:r w:rsidRPr="00CC0F89">
              <w:rPr>
                <w:sz w:val="18"/>
              </w:rPr>
              <w:t>Direct Assistance to Reformers in Government</w:t>
            </w:r>
          </w:p>
        </w:tc>
        <w:tc>
          <w:tcPr>
            <w:tcW w:w="1980" w:type="dxa"/>
            <w:vAlign w:val="center"/>
          </w:tcPr>
          <w:p w:rsidR="00CC0F89" w:rsidRPr="00CC0F89" w:rsidRDefault="00CC0F89" w:rsidP="00A148FE">
            <w:pPr>
              <w:rPr>
                <w:sz w:val="18"/>
              </w:rPr>
            </w:pPr>
            <w:r w:rsidRPr="00CC0F89">
              <w:rPr>
                <w:sz w:val="18"/>
              </w:rPr>
              <w:t>Democratic Innovation in the 21st Century</w:t>
            </w:r>
          </w:p>
        </w:tc>
        <w:tc>
          <w:tcPr>
            <w:tcW w:w="5220" w:type="dxa"/>
            <w:vAlign w:val="center"/>
          </w:tcPr>
          <w:p w:rsidR="00CC0F89" w:rsidRPr="00CC0F89" w:rsidRDefault="00CC0F89" w:rsidP="00287936">
            <w:pPr>
              <w:jc w:val="both"/>
              <w:rPr>
                <w:sz w:val="18"/>
              </w:rPr>
            </w:pPr>
            <w:r w:rsidRPr="00CC0F89">
              <w:rPr>
                <w:sz w:val="18"/>
              </w:rPr>
              <w:t>To hire a consultant to provide strategic advice, analysis and recommendations to Secretary General Almagro and leadership on how the OAS and its member states can promote democratic reforms and practices that respond to the realities, expectations and needs of 21st century societies.</w:t>
            </w:r>
          </w:p>
        </w:tc>
        <w:tc>
          <w:tcPr>
            <w:tcW w:w="990" w:type="dxa"/>
            <w:vAlign w:val="center"/>
          </w:tcPr>
          <w:p w:rsidR="00CC0F89" w:rsidRPr="00CC0F89" w:rsidRDefault="00CC0F89" w:rsidP="00A148FE">
            <w:pPr>
              <w:rPr>
                <w:sz w:val="18"/>
              </w:rPr>
            </w:pPr>
            <w:r w:rsidRPr="00CC0F89">
              <w:rPr>
                <w:sz w:val="18"/>
              </w:rPr>
              <w:t>$94,960</w:t>
            </w:r>
          </w:p>
        </w:tc>
        <w:tc>
          <w:tcPr>
            <w:tcW w:w="1170" w:type="dxa"/>
            <w:vAlign w:val="center"/>
          </w:tcPr>
          <w:p w:rsidR="00CC0F89" w:rsidRPr="00CC0F89" w:rsidRDefault="00CC0F89" w:rsidP="00A148FE">
            <w:pPr>
              <w:rPr>
                <w:sz w:val="18"/>
              </w:rPr>
            </w:pPr>
            <w:r w:rsidRPr="00CC0F89">
              <w:rPr>
                <w:sz w:val="18"/>
              </w:rPr>
              <w:t>1 January 2015 – 31 December 2016</w:t>
            </w:r>
          </w:p>
        </w:tc>
        <w:tc>
          <w:tcPr>
            <w:tcW w:w="1260" w:type="dxa"/>
            <w:vAlign w:val="center"/>
          </w:tcPr>
          <w:p w:rsidR="00CC0F89" w:rsidRPr="00CC0F89" w:rsidRDefault="00CC0F89" w:rsidP="00A148FE">
            <w:pPr>
              <w:rPr>
                <w:sz w:val="18"/>
              </w:rPr>
            </w:pPr>
            <w:r w:rsidRPr="00CC0F89">
              <w:rPr>
                <w:sz w:val="18"/>
              </w:rPr>
              <w:t>Regional</w:t>
            </w:r>
          </w:p>
        </w:tc>
      </w:tr>
    </w:tbl>
    <w:tbl>
      <w:tblPr>
        <w:tblStyle w:val="TableGrid"/>
        <w:tblpPr w:leftFromText="180" w:rightFromText="180" w:vertAnchor="text" w:horzAnchor="margin" w:tblpXSpec="center" w:tblpY="55"/>
        <w:tblW w:w="136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656"/>
        <w:gridCol w:w="1422"/>
        <w:gridCol w:w="1980"/>
        <w:gridCol w:w="5220"/>
        <w:gridCol w:w="990"/>
        <w:gridCol w:w="1170"/>
        <w:gridCol w:w="1260"/>
      </w:tblGrid>
      <w:tr w:rsidR="00A148FE" w:rsidTr="006A3878">
        <w:tc>
          <w:tcPr>
            <w:tcW w:w="1656" w:type="dxa"/>
            <w:shd w:val="clear" w:color="auto" w:fill="C6D9F1" w:themeFill="text2" w:themeFillTint="33"/>
            <w:vAlign w:val="center"/>
          </w:tcPr>
          <w:p w:rsidR="00A148FE" w:rsidRPr="005F29A7" w:rsidRDefault="00A148FE" w:rsidP="006A3878">
            <w:pPr>
              <w:jc w:val="center"/>
              <w:rPr>
                <w:rFonts w:ascii="Garamond" w:hAnsi="Garamond"/>
                <w:b/>
                <w:sz w:val="20"/>
              </w:rPr>
            </w:pPr>
            <w:r w:rsidRPr="005F29A7">
              <w:rPr>
                <w:rFonts w:ascii="Garamond" w:hAnsi="Garamond"/>
                <w:b/>
                <w:sz w:val="20"/>
              </w:rPr>
              <w:t>Org</w:t>
            </w:r>
            <w:r>
              <w:rPr>
                <w:rFonts w:ascii="Garamond" w:hAnsi="Garamond"/>
                <w:b/>
                <w:sz w:val="20"/>
              </w:rPr>
              <w:t>anization</w:t>
            </w:r>
          </w:p>
        </w:tc>
        <w:tc>
          <w:tcPr>
            <w:tcW w:w="1422" w:type="dxa"/>
            <w:shd w:val="clear" w:color="auto" w:fill="C6D9F1" w:themeFill="text2" w:themeFillTint="33"/>
            <w:vAlign w:val="center"/>
          </w:tcPr>
          <w:p w:rsidR="00A148FE" w:rsidRPr="005F29A7" w:rsidRDefault="00A148FE" w:rsidP="006A3878">
            <w:pPr>
              <w:ind w:left="-108"/>
              <w:jc w:val="center"/>
              <w:rPr>
                <w:rFonts w:ascii="Garamond" w:hAnsi="Garamond"/>
                <w:b/>
                <w:sz w:val="20"/>
              </w:rPr>
            </w:pPr>
            <w:r>
              <w:rPr>
                <w:rFonts w:ascii="Garamond" w:hAnsi="Garamond"/>
                <w:b/>
                <w:sz w:val="20"/>
              </w:rPr>
              <w:t>Approach</w:t>
            </w:r>
          </w:p>
        </w:tc>
        <w:tc>
          <w:tcPr>
            <w:tcW w:w="1980" w:type="dxa"/>
            <w:shd w:val="clear" w:color="auto" w:fill="C6D9F1" w:themeFill="text2" w:themeFillTint="33"/>
            <w:vAlign w:val="center"/>
          </w:tcPr>
          <w:p w:rsidR="00A148FE" w:rsidRPr="005F29A7" w:rsidRDefault="00A148FE" w:rsidP="006A3878">
            <w:pPr>
              <w:ind w:left="-108"/>
              <w:jc w:val="center"/>
              <w:rPr>
                <w:rFonts w:ascii="Garamond" w:hAnsi="Garamond"/>
                <w:b/>
                <w:sz w:val="20"/>
              </w:rPr>
            </w:pPr>
            <w:r>
              <w:rPr>
                <w:rFonts w:ascii="Garamond" w:hAnsi="Garamond"/>
                <w:b/>
                <w:sz w:val="20"/>
              </w:rPr>
              <w:t>Grant or Consultancy Name</w:t>
            </w:r>
          </w:p>
        </w:tc>
        <w:tc>
          <w:tcPr>
            <w:tcW w:w="5220" w:type="dxa"/>
            <w:shd w:val="clear" w:color="auto" w:fill="C6D9F1" w:themeFill="text2" w:themeFillTint="33"/>
            <w:vAlign w:val="center"/>
          </w:tcPr>
          <w:p w:rsidR="00A148FE" w:rsidRPr="005F29A7" w:rsidRDefault="00A148FE" w:rsidP="006A3878">
            <w:pPr>
              <w:jc w:val="center"/>
              <w:rPr>
                <w:rFonts w:ascii="Garamond" w:hAnsi="Garamond"/>
                <w:b/>
                <w:sz w:val="20"/>
              </w:rPr>
            </w:pPr>
            <w:r w:rsidRPr="005F29A7">
              <w:rPr>
                <w:rFonts w:ascii="Garamond" w:hAnsi="Garamond"/>
                <w:b/>
                <w:sz w:val="20"/>
              </w:rPr>
              <w:t>Description</w:t>
            </w:r>
            <w:r>
              <w:rPr>
                <w:rFonts w:ascii="Garamond" w:hAnsi="Garamond"/>
                <w:b/>
                <w:sz w:val="20"/>
              </w:rPr>
              <w:t xml:space="preserve"> </w:t>
            </w:r>
          </w:p>
        </w:tc>
        <w:tc>
          <w:tcPr>
            <w:tcW w:w="990" w:type="dxa"/>
            <w:shd w:val="clear" w:color="auto" w:fill="C6D9F1" w:themeFill="text2" w:themeFillTint="33"/>
            <w:vAlign w:val="center"/>
          </w:tcPr>
          <w:p w:rsidR="00A148FE" w:rsidRPr="005F29A7" w:rsidRDefault="00A148FE" w:rsidP="006A3878">
            <w:pPr>
              <w:jc w:val="center"/>
              <w:rPr>
                <w:rFonts w:ascii="Garamond" w:hAnsi="Garamond"/>
                <w:b/>
                <w:sz w:val="20"/>
              </w:rPr>
            </w:pPr>
            <w:r w:rsidRPr="005F29A7">
              <w:rPr>
                <w:rFonts w:ascii="Garamond" w:hAnsi="Garamond"/>
                <w:b/>
                <w:sz w:val="20"/>
              </w:rPr>
              <w:t>Amount</w:t>
            </w:r>
          </w:p>
        </w:tc>
        <w:tc>
          <w:tcPr>
            <w:tcW w:w="1170" w:type="dxa"/>
            <w:shd w:val="clear" w:color="auto" w:fill="C6D9F1" w:themeFill="text2" w:themeFillTint="33"/>
            <w:vAlign w:val="center"/>
          </w:tcPr>
          <w:p w:rsidR="00A148FE" w:rsidRPr="005F29A7" w:rsidRDefault="00A148FE" w:rsidP="006A3878">
            <w:pPr>
              <w:jc w:val="center"/>
              <w:rPr>
                <w:rFonts w:ascii="Garamond" w:hAnsi="Garamond"/>
                <w:b/>
                <w:sz w:val="20"/>
              </w:rPr>
            </w:pPr>
            <w:r w:rsidRPr="005F29A7">
              <w:rPr>
                <w:rFonts w:ascii="Garamond" w:hAnsi="Garamond"/>
                <w:b/>
                <w:sz w:val="20"/>
              </w:rPr>
              <w:t>Period</w:t>
            </w:r>
          </w:p>
        </w:tc>
        <w:tc>
          <w:tcPr>
            <w:tcW w:w="1260" w:type="dxa"/>
            <w:shd w:val="clear" w:color="auto" w:fill="C6D9F1" w:themeFill="text2" w:themeFillTint="33"/>
            <w:vAlign w:val="center"/>
          </w:tcPr>
          <w:p w:rsidR="00A148FE" w:rsidRPr="005F29A7" w:rsidRDefault="00A148FE" w:rsidP="006A3878">
            <w:pPr>
              <w:jc w:val="center"/>
              <w:rPr>
                <w:rFonts w:ascii="Garamond" w:hAnsi="Garamond"/>
                <w:b/>
                <w:sz w:val="20"/>
              </w:rPr>
            </w:pPr>
            <w:r>
              <w:rPr>
                <w:rFonts w:ascii="Garamond" w:hAnsi="Garamond"/>
                <w:b/>
                <w:sz w:val="20"/>
              </w:rPr>
              <w:t>Geography of Work</w:t>
            </w:r>
          </w:p>
        </w:tc>
      </w:tr>
    </w:tbl>
    <w:p w:rsidR="00A148FE" w:rsidRDefault="00A148FE" w:rsidP="00A148FE">
      <w:pPr>
        <w:spacing w:after="0" w:line="240" w:lineRule="auto"/>
        <w:rPr>
          <w:sz w:val="14"/>
        </w:rPr>
      </w:pPr>
    </w:p>
    <w:p w:rsidR="00287936" w:rsidRDefault="00287936" w:rsidP="00A148FE">
      <w:pPr>
        <w:spacing w:after="0" w:line="240" w:lineRule="auto"/>
        <w:rPr>
          <w:sz w:val="14"/>
        </w:rPr>
      </w:pPr>
    </w:p>
    <w:p w:rsidR="00A148FE" w:rsidRPr="00A148FE" w:rsidRDefault="00A148FE" w:rsidP="00A148FE">
      <w:pPr>
        <w:spacing w:after="0" w:line="240" w:lineRule="auto"/>
        <w:rPr>
          <w:sz w:val="14"/>
        </w:rPr>
      </w:pPr>
      <w:r w:rsidRPr="00A148FE">
        <w:rPr>
          <w:sz w:val="14"/>
        </w:rPr>
        <w:t>*General reserve fund request: RF143</w:t>
      </w:r>
    </w:p>
    <w:p w:rsidR="000E088D" w:rsidRPr="00C27508" w:rsidRDefault="00A148FE" w:rsidP="00A148FE">
      <w:pPr>
        <w:spacing w:after="0" w:line="240" w:lineRule="auto"/>
        <w:rPr>
          <w:sz w:val="14"/>
        </w:rPr>
      </w:pPr>
      <w:r w:rsidRPr="00A148FE">
        <w:rPr>
          <w:sz w:val="14"/>
        </w:rPr>
        <w:t>** A percentage came from Shared framework reserve fund request: RF71</w:t>
      </w:r>
    </w:p>
    <w:sectPr w:rsidR="000E088D" w:rsidRPr="00C27508" w:rsidSect="005D311D">
      <w:footerReference w:type="default" r:id="rId1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0D3" w:rsidRDefault="00B740D3" w:rsidP="00785035">
      <w:pPr>
        <w:spacing w:after="0" w:line="240" w:lineRule="auto"/>
      </w:pPr>
      <w:r>
        <w:separator/>
      </w:r>
    </w:p>
  </w:endnote>
  <w:endnote w:type="continuationSeparator" w:id="0">
    <w:p w:rsidR="00B740D3" w:rsidRDefault="00B740D3" w:rsidP="00785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698125"/>
      <w:docPartObj>
        <w:docPartGallery w:val="Page Numbers (Bottom of Page)"/>
        <w:docPartUnique/>
      </w:docPartObj>
    </w:sdtPr>
    <w:sdtEndPr>
      <w:rPr>
        <w:noProof/>
      </w:rPr>
    </w:sdtEndPr>
    <w:sdtContent>
      <w:p w:rsidR="00785035" w:rsidRDefault="00785035">
        <w:pPr>
          <w:pStyle w:val="Footer"/>
          <w:jc w:val="right"/>
        </w:pPr>
        <w:r>
          <w:fldChar w:fldCharType="begin"/>
        </w:r>
        <w:r>
          <w:instrText xml:space="preserve"> PAGE   \* MERGEFORMAT </w:instrText>
        </w:r>
        <w:r>
          <w:fldChar w:fldCharType="separate"/>
        </w:r>
        <w:r w:rsidR="004944BA">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0D3" w:rsidRDefault="00B740D3" w:rsidP="00785035">
      <w:pPr>
        <w:spacing w:after="0" w:line="240" w:lineRule="auto"/>
      </w:pPr>
      <w:r>
        <w:separator/>
      </w:r>
    </w:p>
  </w:footnote>
  <w:footnote w:type="continuationSeparator" w:id="0">
    <w:p w:rsidR="00B740D3" w:rsidRDefault="00B740D3" w:rsidP="007850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B33474"/>
    <w:multiLevelType w:val="hybridMultilevel"/>
    <w:tmpl w:val="F7F66146"/>
    <w:lvl w:ilvl="0" w:tplc="AB6494DA">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36773935"/>
    <w:multiLevelType w:val="multilevel"/>
    <w:tmpl w:val="C3C27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C34613B"/>
    <w:multiLevelType w:val="hybridMultilevel"/>
    <w:tmpl w:val="DFBE3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F62"/>
    <w:rsid w:val="000B0C46"/>
    <w:rsid w:val="000B204C"/>
    <w:rsid w:val="000B5A04"/>
    <w:rsid w:val="000C575A"/>
    <w:rsid w:val="000E088D"/>
    <w:rsid w:val="000E7AFC"/>
    <w:rsid w:val="00140A09"/>
    <w:rsid w:val="00166359"/>
    <w:rsid w:val="001952D1"/>
    <w:rsid w:val="002742C6"/>
    <w:rsid w:val="0028166E"/>
    <w:rsid w:val="002821A6"/>
    <w:rsid w:val="00283C6B"/>
    <w:rsid w:val="00287936"/>
    <w:rsid w:val="00293D75"/>
    <w:rsid w:val="00296773"/>
    <w:rsid w:val="002B74FD"/>
    <w:rsid w:val="002F770A"/>
    <w:rsid w:val="003421D1"/>
    <w:rsid w:val="003708B3"/>
    <w:rsid w:val="003B2384"/>
    <w:rsid w:val="00405009"/>
    <w:rsid w:val="00413879"/>
    <w:rsid w:val="0043082C"/>
    <w:rsid w:val="004767F2"/>
    <w:rsid w:val="0048489B"/>
    <w:rsid w:val="004944BA"/>
    <w:rsid w:val="004C2292"/>
    <w:rsid w:val="004F634A"/>
    <w:rsid w:val="00571039"/>
    <w:rsid w:val="005924BC"/>
    <w:rsid w:val="005B2A1C"/>
    <w:rsid w:val="005D311D"/>
    <w:rsid w:val="005F16F0"/>
    <w:rsid w:val="006336CC"/>
    <w:rsid w:val="00644530"/>
    <w:rsid w:val="00663C6F"/>
    <w:rsid w:val="00745A4A"/>
    <w:rsid w:val="00785035"/>
    <w:rsid w:val="00810DAB"/>
    <w:rsid w:val="008A7EF5"/>
    <w:rsid w:val="008E3439"/>
    <w:rsid w:val="008F0719"/>
    <w:rsid w:val="00924811"/>
    <w:rsid w:val="009440B1"/>
    <w:rsid w:val="009625F8"/>
    <w:rsid w:val="009D5F62"/>
    <w:rsid w:val="009F0EDE"/>
    <w:rsid w:val="009F4C28"/>
    <w:rsid w:val="00A07F28"/>
    <w:rsid w:val="00A148FE"/>
    <w:rsid w:val="00A4379C"/>
    <w:rsid w:val="00A7176D"/>
    <w:rsid w:val="00B64357"/>
    <w:rsid w:val="00B7111A"/>
    <w:rsid w:val="00B740D3"/>
    <w:rsid w:val="00BA20F3"/>
    <w:rsid w:val="00BA318D"/>
    <w:rsid w:val="00C173EB"/>
    <w:rsid w:val="00C27508"/>
    <w:rsid w:val="00C506EC"/>
    <w:rsid w:val="00C8340E"/>
    <w:rsid w:val="00CA3159"/>
    <w:rsid w:val="00CA6372"/>
    <w:rsid w:val="00CC0F89"/>
    <w:rsid w:val="00D46148"/>
    <w:rsid w:val="00D91CD9"/>
    <w:rsid w:val="00DA4864"/>
    <w:rsid w:val="00DB0D18"/>
    <w:rsid w:val="00E20DA2"/>
    <w:rsid w:val="00EA51F6"/>
    <w:rsid w:val="00EF0CBA"/>
    <w:rsid w:val="00F10759"/>
    <w:rsid w:val="00F754A9"/>
    <w:rsid w:val="00F932AB"/>
    <w:rsid w:val="00F95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D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9D5F62"/>
    <w:pPr>
      <w:spacing w:line="240" w:lineRule="auto"/>
    </w:pPr>
    <w:rPr>
      <w:sz w:val="20"/>
      <w:szCs w:val="20"/>
    </w:rPr>
  </w:style>
  <w:style w:type="character" w:customStyle="1" w:styleId="CommentTextChar">
    <w:name w:val="Comment Text Char"/>
    <w:basedOn w:val="DefaultParagraphFont"/>
    <w:link w:val="CommentText"/>
    <w:uiPriority w:val="99"/>
    <w:semiHidden/>
    <w:rsid w:val="009D5F62"/>
    <w:rPr>
      <w:sz w:val="20"/>
      <w:szCs w:val="20"/>
    </w:rPr>
  </w:style>
  <w:style w:type="table" w:styleId="TableGrid">
    <w:name w:val="Table Grid"/>
    <w:basedOn w:val="TableNormal"/>
    <w:uiPriority w:val="59"/>
    <w:rsid w:val="009D5F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5F62"/>
    <w:rPr>
      <w:color w:val="0000FF" w:themeColor="hyperlink"/>
      <w:u w:val="single"/>
    </w:rPr>
  </w:style>
  <w:style w:type="paragraph" w:styleId="ListParagraph">
    <w:name w:val="List Paragraph"/>
    <w:basedOn w:val="Normal"/>
    <w:uiPriority w:val="34"/>
    <w:qFormat/>
    <w:rsid w:val="003421D1"/>
    <w:pPr>
      <w:ind w:left="720"/>
      <w:contextualSpacing/>
    </w:pPr>
  </w:style>
  <w:style w:type="paragraph" w:styleId="Header">
    <w:name w:val="header"/>
    <w:basedOn w:val="Normal"/>
    <w:link w:val="HeaderChar"/>
    <w:uiPriority w:val="99"/>
    <w:unhideWhenUsed/>
    <w:rsid w:val="007850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035"/>
  </w:style>
  <w:style w:type="paragraph" w:styleId="Footer">
    <w:name w:val="footer"/>
    <w:basedOn w:val="Normal"/>
    <w:link w:val="FooterChar"/>
    <w:uiPriority w:val="99"/>
    <w:unhideWhenUsed/>
    <w:rsid w:val="007850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035"/>
  </w:style>
  <w:style w:type="paragraph" w:styleId="BalloonText">
    <w:name w:val="Balloon Text"/>
    <w:basedOn w:val="Normal"/>
    <w:link w:val="BalloonTextChar"/>
    <w:uiPriority w:val="99"/>
    <w:semiHidden/>
    <w:unhideWhenUsed/>
    <w:rsid w:val="004050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0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D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9D5F62"/>
    <w:pPr>
      <w:spacing w:line="240" w:lineRule="auto"/>
    </w:pPr>
    <w:rPr>
      <w:sz w:val="20"/>
      <w:szCs w:val="20"/>
    </w:rPr>
  </w:style>
  <w:style w:type="character" w:customStyle="1" w:styleId="CommentTextChar">
    <w:name w:val="Comment Text Char"/>
    <w:basedOn w:val="DefaultParagraphFont"/>
    <w:link w:val="CommentText"/>
    <w:uiPriority w:val="99"/>
    <w:semiHidden/>
    <w:rsid w:val="009D5F62"/>
    <w:rPr>
      <w:sz w:val="20"/>
      <w:szCs w:val="20"/>
    </w:rPr>
  </w:style>
  <w:style w:type="table" w:styleId="TableGrid">
    <w:name w:val="Table Grid"/>
    <w:basedOn w:val="TableNormal"/>
    <w:uiPriority w:val="59"/>
    <w:rsid w:val="009D5F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5F62"/>
    <w:rPr>
      <w:color w:val="0000FF" w:themeColor="hyperlink"/>
      <w:u w:val="single"/>
    </w:rPr>
  </w:style>
  <w:style w:type="paragraph" w:styleId="ListParagraph">
    <w:name w:val="List Paragraph"/>
    <w:basedOn w:val="Normal"/>
    <w:uiPriority w:val="34"/>
    <w:qFormat/>
    <w:rsid w:val="003421D1"/>
    <w:pPr>
      <w:ind w:left="720"/>
      <w:contextualSpacing/>
    </w:pPr>
  </w:style>
  <w:style w:type="paragraph" w:styleId="Header">
    <w:name w:val="header"/>
    <w:basedOn w:val="Normal"/>
    <w:link w:val="HeaderChar"/>
    <w:uiPriority w:val="99"/>
    <w:unhideWhenUsed/>
    <w:rsid w:val="007850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035"/>
  </w:style>
  <w:style w:type="paragraph" w:styleId="Footer">
    <w:name w:val="footer"/>
    <w:basedOn w:val="Normal"/>
    <w:link w:val="FooterChar"/>
    <w:uiPriority w:val="99"/>
    <w:unhideWhenUsed/>
    <w:rsid w:val="007850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035"/>
  </w:style>
  <w:style w:type="paragraph" w:styleId="BalloonText">
    <w:name w:val="Balloon Text"/>
    <w:basedOn w:val="Normal"/>
    <w:link w:val="BalloonTextChar"/>
    <w:uiPriority w:val="99"/>
    <w:semiHidden/>
    <w:unhideWhenUsed/>
    <w:rsid w:val="004050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0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85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udamos.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democracia.camara.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ialoga.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foreignpolicy.com/2016/01/19/how-brazil-crowdsourced-a-landmark-law/?utm_source=Sailthru&amp;utm_medium=email&amp;utm_campaign=Democracy%20Lab%20Weekly%20Brief%2C%20January%2025%2C%202016&amp;utm_term=%2ADemocracy%20Lab" TargetMode="External"/><Relationship Id="rId4" Type="http://schemas.microsoft.com/office/2007/relationships/stylesWithEffects" Target="stylesWithEffects.xml"/><Relationship Id="rId9" Type="http://schemas.openxmlformats.org/officeDocument/2006/relationships/hyperlink" Target="http://www.alertademocratica.org/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466F3-DBD8-41A3-B8C4-F72FAB18F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1774</Words>
  <Characters>10114</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Vonda Brown</dc:creator>
  <cp:lastModifiedBy>Daphne Panayotatos</cp:lastModifiedBy>
  <cp:revision>2</cp:revision>
  <dcterms:created xsi:type="dcterms:W3CDTF">2016-05-06T14:32:00Z</dcterms:created>
  <dcterms:modified xsi:type="dcterms:W3CDTF">2016-05-06T14:32:00Z</dcterms:modified>
</cp:coreProperties>
</file>