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44C" w:rsidRDefault="00E5444C" w:rsidP="00E5444C">
      <w:pPr>
        <w:spacing w:after="0" w:line="240" w:lineRule="auto"/>
        <w:rPr>
          <w:rFonts w:ascii="Times New Roman" w:hAnsi="Times New Roman" w:cs="Times New Roman"/>
        </w:rPr>
      </w:pPr>
      <w:bookmarkStart w:id="0" w:name="_GoBack"/>
      <w:bookmarkEnd w:id="0"/>
    </w:p>
    <w:p w:rsidR="00E5444C" w:rsidRDefault="00E5444C" w:rsidP="00E5444C">
      <w:pPr>
        <w:spacing w:after="0" w:line="240" w:lineRule="auto"/>
        <w:rPr>
          <w:rFonts w:ascii="Times New Roman" w:hAnsi="Times New Roman" w:cs="Times New Roman"/>
        </w:rPr>
      </w:pPr>
    </w:p>
    <w:p w:rsidR="00E5444C" w:rsidRDefault="00E5444C" w:rsidP="00E5444C">
      <w:pPr>
        <w:spacing w:after="0" w:line="240" w:lineRule="auto"/>
        <w:rPr>
          <w:rFonts w:ascii="Times New Roman" w:hAnsi="Times New Roman" w:cs="Times New Roman"/>
        </w:rPr>
      </w:pPr>
    </w:p>
    <w:p w:rsidR="00E5444C" w:rsidRPr="008304AE" w:rsidRDefault="00E5444C" w:rsidP="00E5444C">
      <w:pPr>
        <w:spacing w:after="0" w:line="240" w:lineRule="auto"/>
        <w:rPr>
          <w:rFonts w:ascii="Times New Roman" w:hAnsi="Times New Roman" w:cs="Times New Roman"/>
          <w:i/>
        </w:rPr>
      </w:pPr>
      <w:r w:rsidRPr="008304AE">
        <w:rPr>
          <w:rFonts w:ascii="Times New Roman" w:hAnsi="Times New Roman" w:cs="Times New Roman"/>
        </w:rPr>
        <w:t>Portfolio Review:</w:t>
      </w:r>
      <w:r w:rsidRPr="008304AE">
        <w:rPr>
          <w:rFonts w:ascii="Times New Roman" w:hAnsi="Times New Roman" w:cs="Times New Roman"/>
          <w:i/>
        </w:rPr>
        <w:t xml:space="preserve"> HESP Network Institutions</w:t>
      </w:r>
    </w:p>
    <w:p w:rsidR="00AF6956" w:rsidRDefault="00AF6956" w:rsidP="00E5444C">
      <w:pPr>
        <w:spacing w:after="0" w:line="240" w:lineRule="auto"/>
      </w:pPr>
      <w:r>
        <w:t>June 12, 2015</w:t>
      </w:r>
    </w:p>
    <w:p w:rsidR="00AF6956" w:rsidRDefault="00AF6956" w:rsidP="00E5444C">
      <w:pPr>
        <w:spacing w:after="0" w:line="240" w:lineRule="auto"/>
        <w:rPr>
          <w:rFonts w:ascii="Times New Roman" w:hAnsi="Times New Roman" w:cs="Times New Roman"/>
          <w:lang w:val="et-EE"/>
        </w:rPr>
      </w:pPr>
      <w:r>
        <w:t>Summary of Outcomes</w:t>
      </w:r>
    </w:p>
    <w:p w:rsidR="00AF6956" w:rsidRDefault="00AF6956" w:rsidP="00E5444C">
      <w:pPr>
        <w:spacing w:after="0" w:line="240" w:lineRule="auto"/>
        <w:rPr>
          <w:rFonts w:ascii="Times New Roman" w:hAnsi="Times New Roman" w:cs="Times New Roman"/>
          <w:lang w:val="et-EE"/>
        </w:rPr>
      </w:pPr>
    </w:p>
    <w:p w:rsidR="00E5444C" w:rsidRDefault="00E5444C" w:rsidP="00E5444C">
      <w:pPr>
        <w:spacing w:after="0" w:line="240" w:lineRule="auto"/>
        <w:rPr>
          <w:rFonts w:ascii="Times New Roman" w:hAnsi="Times New Roman" w:cs="Times New Roman"/>
          <w:lang w:val="et-EE"/>
        </w:rPr>
      </w:pPr>
      <w:r>
        <w:rPr>
          <w:rFonts w:ascii="Times New Roman" w:hAnsi="Times New Roman" w:cs="Times New Roman"/>
          <w:lang w:val="et-EE"/>
        </w:rPr>
        <w:t>Portfolio lead: Voldemar Tomusk</w:t>
      </w:r>
    </w:p>
    <w:p w:rsidR="00E5444C" w:rsidRDefault="00E5444C" w:rsidP="00E5444C">
      <w:pPr>
        <w:spacing w:after="0" w:line="240" w:lineRule="auto"/>
        <w:rPr>
          <w:rFonts w:ascii="Times New Roman" w:hAnsi="Times New Roman" w:cs="Times New Roman"/>
          <w:lang w:val="et-EE"/>
        </w:rPr>
      </w:pPr>
      <w:r>
        <w:rPr>
          <w:rFonts w:ascii="Times New Roman" w:hAnsi="Times New Roman" w:cs="Times New Roman"/>
          <w:lang w:val="et-EE"/>
        </w:rPr>
        <w:t>Moderator: Meredith Woo</w:t>
      </w:r>
    </w:p>
    <w:p w:rsidR="00E5444C" w:rsidRDefault="00E5444C" w:rsidP="00E5444C">
      <w:pPr>
        <w:spacing w:after="0" w:line="240" w:lineRule="auto"/>
        <w:rPr>
          <w:rFonts w:ascii="Times New Roman" w:hAnsi="Times New Roman" w:cs="Times New Roman"/>
          <w:lang w:val="et-EE"/>
        </w:rPr>
      </w:pPr>
      <w:r>
        <w:rPr>
          <w:rFonts w:ascii="Times New Roman" w:hAnsi="Times New Roman" w:cs="Times New Roman"/>
          <w:lang w:val="et-EE"/>
        </w:rPr>
        <w:t xml:space="preserve">Discussants: Christopher Stone </w:t>
      </w:r>
    </w:p>
    <w:p w:rsidR="001B0B7F" w:rsidRDefault="00E5444C" w:rsidP="00E5444C">
      <w:pPr>
        <w:spacing w:after="0" w:line="240" w:lineRule="auto"/>
      </w:pPr>
      <w:r>
        <w:rPr>
          <w:rFonts w:ascii="Times New Roman" w:hAnsi="Times New Roman" w:cs="Times New Roman"/>
          <w:lang w:val="et-EE"/>
        </w:rPr>
        <w:tab/>
        <w:t xml:space="preserve">        Michael D. Kennedy</w:t>
      </w:r>
    </w:p>
    <w:p w:rsidR="001B0B7F" w:rsidRDefault="001B0B7F" w:rsidP="00E5444C">
      <w:pPr>
        <w:spacing w:after="0" w:line="240" w:lineRule="auto"/>
      </w:pPr>
    </w:p>
    <w:p w:rsidR="002841CC" w:rsidRDefault="002841CC" w:rsidP="002841CC">
      <w:pPr>
        <w:spacing w:after="0" w:line="240" w:lineRule="auto"/>
      </w:pPr>
    </w:p>
    <w:p w:rsidR="002841CC" w:rsidRPr="002841CC" w:rsidRDefault="002841CC" w:rsidP="002841CC">
      <w:pPr>
        <w:spacing w:after="0" w:line="240" w:lineRule="auto"/>
        <w:rPr>
          <w:u w:val="single"/>
        </w:rPr>
      </w:pPr>
      <w:r w:rsidRPr="002841CC">
        <w:rPr>
          <w:u w:val="single"/>
        </w:rPr>
        <w:t>Opening statement, Voldemar Tomusk</w:t>
      </w:r>
    </w:p>
    <w:p w:rsidR="00AF6956" w:rsidRDefault="00AF6956" w:rsidP="002841CC">
      <w:pPr>
        <w:spacing w:line="240" w:lineRule="auto"/>
      </w:pPr>
      <w:r>
        <w:t xml:space="preserve">Responding to the perceived urgent need </w:t>
      </w:r>
      <w:r w:rsidR="00532CB6">
        <w:t xml:space="preserve">to reform </w:t>
      </w:r>
      <w:r w:rsidR="00E41FDB">
        <w:t xml:space="preserve">the systems of </w:t>
      </w:r>
      <w:r w:rsidR="00532CB6">
        <w:t xml:space="preserve">higher education </w:t>
      </w:r>
      <w:r>
        <w:t xml:space="preserve">in </w:t>
      </w:r>
      <w:r w:rsidR="00E41FDB">
        <w:t xml:space="preserve">the </w:t>
      </w:r>
      <w:r>
        <w:t xml:space="preserve">countries of Central-East European and </w:t>
      </w:r>
      <w:r w:rsidR="00E41FDB">
        <w:t xml:space="preserve">the </w:t>
      </w:r>
      <w:r>
        <w:t>for</w:t>
      </w:r>
      <w:r w:rsidR="00E41FDB">
        <w:t>mer Soviet Union (CEE-fSU), we as OSF-HESP</w:t>
      </w:r>
      <w:r>
        <w:t xml:space="preserve"> adopted </w:t>
      </w:r>
      <w:r w:rsidR="00E41FDB">
        <w:t>an approach different from those taken</w:t>
      </w:r>
      <w:r>
        <w:t xml:space="preserve"> by </w:t>
      </w:r>
      <w:r w:rsidR="00474E8F">
        <w:t xml:space="preserve">many other </w:t>
      </w:r>
      <w:r w:rsidR="00532CB6">
        <w:t xml:space="preserve">organizations and agencies supporting post-communist </w:t>
      </w:r>
      <w:r>
        <w:t xml:space="preserve">higher education </w:t>
      </w:r>
      <w:r w:rsidR="00532CB6">
        <w:t>reforms</w:t>
      </w:r>
      <w:r>
        <w:t>. Assuming that the old, communist higher education systems would disappear shortly, we focused mainly on</w:t>
      </w:r>
      <w:r w:rsidR="00532CB6">
        <w:t xml:space="preserve"> </w:t>
      </w:r>
      <w:r w:rsidR="00474E8F">
        <w:t xml:space="preserve">supporting newly established independent (non-state) higher education institutions, </w:t>
      </w:r>
      <w:r>
        <w:t xml:space="preserve">expecting </w:t>
      </w:r>
      <w:r w:rsidR="00E41FDB">
        <w:t xml:space="preserve">these </w:t>
      </w:r>
      <w:r>
        <w:t xml:space="preserve">to </w:t>
      </w:r>
      <w:r w:rsidR="00D76AB8">
        <w:t>serve as the bases</w:t>
      </w:r>
      <w:r w:rsidR="00E41FDB">
        <w:t xml:space="preserve"> of </w:t>
      </w:r>
      <w:r w:rsidR="00474E8F">
        <w:t xml:space="preserve">new </w:t>
      </w:r>
      <w:r>
        <w:t xml:space="preserve">higher education across the region. </w:t>
      </w:r>
    </w:p>
    <w:p w:rsidR="00BF20E3" w:rsidRDefault="00BF20E3" w:rsidP="002841CC">
      <w:pPr>
        <w:spacing w:line="240" w:lineRule="auto"/>
      </w:pPr>
      <w:r>
        <w:t>Now we know that th</w:t>
      </w:r>
      <w:r w:rsidR="00AF6956">
        <w:t xml:space="preserve">e anticipated massive reform </w:t>
      </w:r>
      <w:r w:rsidR="00D76AB8">
        <w:t>did not follow</w:t>
      </w:r>
      <w:r>
        <w:t>. Instead, the largest majority of the</w:t>
      </w:r>
      <w:r w:rsidR="00885008">
        <w:t xml:space="preserve"> higher education institutions founded in the early 1990s have by now discontinued, while many among the most successful of them </w:t>
      </w:r>
      <w:r>
        <w:t xml:space="preserve">have merged with public universities. </w:t>
      </w:r>
      <w:r w:rsidR="00885008">
        <w:t>I</w:t>
      </w:r>
      <w:r w:rsidR="00702F7A">
        <w:t xml:space="preserve">nstitutions supported by OSF </w:t>
      </w:r>
      <w:r w:rsidR="00885008">
        <w:t xml:space="preserve">have been </w:t>
      </w:r>
      <w:r w:rsidR="00D76AB8">
        <w:t xml:space="preserve">mostly </w:t>
      </w:r>
      <w:r w:rsidR="00885008">
        <w:t xml:space="preserve">able to continue their activities, often thanks to </w:t>
      </w:r>
      <w:r w:rsidR="00D76AB8">
        <w:t xml:space="preserve">the </w:t>
      </w:r>
      <w:r w:rsidR="00885008">
        <w:t xml:space="preserve">access to OSF’s funding. However, as the </w:t>
      </w:r>
      <w:r w:rsidR="00702F7A">
        <w:t>funding that was expected to beco</w:t>
      </w:r>
      <w:r w:rsidR="00171242">
        <w:t xml:space="preserve">me available </w:t>
      </w:r>
      <w:r w:rsidR="00885008">
        <w:t xml:space="preserve">from local sources was delayed or did not become available at all, </w:t>
      </w:r>
      <w:r w:rsidR="00702F7A">
        <w:t>phasing out our support has taken 10-15 years longer than initially expected.</w:t>
      </w:r>
    </w:p>
    <w:p w:rsidR="002841CC" w:rsidRDefault="00171242" w:rsidP="002841CC">
      <w:pPr>
        <w:spacing w:line="240" w:lineRule="auto"/>
      </w:pPr>
      <w:r>
        <w:t xml:space="preserve">As higher education </w:t>
      </w:r>
      <w:r w:rsidR="00885008">
        <w:t xml:space="preserve">reforms </w:t>
      </w:r>
      <w:r>
        <w:t xml:space="preserve">in the CEE-fSU region </w:t>
      </w:r>
      <w:r w:rsidR="00885008">
        <w:t xml:space="preserve">proceeded </w:t>
      </w:r>
      <w:r>
        <w:t xml:space="preserve">in a manner different from our expectations, exiting our funding </w:t>
      </w:r>
      <w:r w:rsidR="00885008">
        <w:t xml:space="preserve">without discontinuing the </w:t>
      </w:r>
      <w:r>
        <w:t xml:space="preserve">institutions </w:t>
      </w:r>
      <w:r w:rsidR="0056049D">
        <w:t xml:space="preserve">became </w:t>
      </w:r>
      <w:r>
        <w:t>a complicated task. The first set of the institutional development plans envisioning an exit within three years was developed already back in 1997-98</w:t>
      </w:r>
      <w:r w:rsidR="00885008">
        <w:t xml:space="preserve"> under the title of </w:t>
      </w:r>
      <w:r w:rsidR="0056049D">
        <w:t xml:space="preserve">the </w:t>
      </w:r>
      <w:r w:rsidR="00885008">
        <w:t>“evergreen institutional development plans”</w:t>
      </w:r>
      <w:r>
        <w:t xml:space="preserve">. However, as </w:t>
      </w:r>
      <w:r w:rsidR="005B42A8">
        <w:t xml:space="preserve">there was no </w:t>
      </w:r>
      <w:r w:rsidR="0056049D">
        <w:t xml:space="preserve">single </w:t>
      </w:r>
      <w:r>
        <w:t xml:space="preserve">agreed upon position </w:t>
      </w:r>
      <w:r w:rsidR="005B42A8">
        <w:t xml:space="preserve">within OSF regarding winding down </w:t>
      </w:r>
      <w:r w:rsidR="007B4260">
        <w:t xml:space="preserve">the </w:t>
      </w:r>
      <w:r w:rsidR="0056049D">
        <w:t xml:space="preserve">funding </w:t>
      </w:r>
      <w:r w:rsidR="005B42A8">
        <w:t>to “HESP supported institutions”, discussions concerning the continuation of funding w</w:t>
      </w:r>
      <w:r w:rsidR="0056049D">
        <w:t xml:space="preserve">ere held </w:t>
      </w:r>
      <w:r w:rsidR="005B42A8">
        <w:t>at various level within the organization</w:t>
      </w:r>
      <w:r w:rsidR="00DF07AF">
        <w:t xml:space="preserve">. The structure of the organization </w:t>
      </w:r>
      <w:r w:rsidR="007B4260">
        <w:t xml:space="preserve">and the complexity of the decision making </w:t>
      </w:r>
      <w:r w:rsidR="00DF07AF">
        <w:t xml:space="preserve">allowed </w:t>
      </w:r>
      <w:r w:rsidR="007B4260">
        <w:t xml:space="preserve">in most of the cases grantees successfully negotiating for the continuity of funding. </w:t>
      </w:r>
      <w:r w:rsidR="005B42A8">
        <w:t>When it comes to p</w:t>
      </w:r>
      <w:r w:rsidR="00964D3B">
        <w:t>hasing out</w:t>
      </w:r>
      <w:r w:rsidR="005B42A8">
        <w:t xml:space="preserve"> such funding projects, </w:t>
      </w:r>
      <w:r w:rsidR="00946103">
        <w:t xml:space="preserve">usual practice </w:t>
      </w:r>
      <w:r w:rsidR="005B42A8">
        <w:t xml:space="preserve">would </w:t>
      </w:r>
      <w:r w:rsidR="007B4260">
        <w:t xml:space="preserve">suggest </w:t>
      </w:r>
      <w:r w:rsidR="00EB53CA">
        <w:t>reducing it gradually</w:t>
      </w:r>
      <w:r>
        <w:t xml:space="preserve"> </w:t>
      </w:r>
      <w:r w:rsidR="00964D3B">
        <w:t>over a</w:t>
      </w:r>
      <w:r w:rsidR="005B42A8">
        <w:t xml:space="preserve"> period of a few years. However, </w:t>
      </w:r>
      <w:r w:rsidR="00946103">
        <w:t xml:space="preserve">in </w:t>
      </w:r>
      <w:r w:rsidR="005B42A8">
        <w:t xml:space="preserve">several cases we </w:t>
      </w:r>
      <w:r w:rsidR="007B4260">
        <w:t xml:space="preserve">adopted the </w:t>
      </w:r>
      <w:r w:rsidR="005B42A8">
        <w:t>opposite approach</w:t>
      </w:r>
      <w:r w:rsidR="00964D3B">
        <w:t>. In</w:t>
      </w:r>
      <w:r w:rsidR="00946103">
        <w:t xml:space="preserve"> cases such as </w:t>
      </w:r>
      <w:r w:rsidR="00EB53CA">
        <w:t xml:space="preserve">for example </w:t>
      </w:r>
      <w:r w:rsidR="00946103">
        <w:t xml:space="preserve">AUCA, EUSP, and Smolny discontinuing </w:t>
      </w:r>
      <w:r w:rsidR="007B4260">
        <w:t xml:space="preserve">our funding </w:t>
      </w:r>
      <w:r w:rsidR="00946103">
        <w:t xml:space="preserve">became possible </w:t>
      </w:r>
      <w:r w:rsidR="007B4260">
        <w:t xml:space="preserve">only </w:t>
      </w:r>
      <w:r w:rsidR="00946103">
        <w:t xml:space="preserve">after </w:t>
      </w:r>
      <w:r w:rsidR="00964D3B">
        <w:t xml:space="preserve">having made </w:t>
      </w:r>
      <w:r w:rsidR="00946103">
        <w:t>significant investments in the institutions’ endowment funds or infrastructure.</w:t>
      </w:r>
    </w:p>
    <w:p w:rsidR="00946103" w:rsidRDefault="00EB53CA" w:rsidP="00EB53CA">
      <w:pPr>
        <w:spacing w:after="0" w:line="240" w:lineRule="auto"/>
      </w:pPr>
      <w:r>
        <w:t>In the course of the history of HESP institutional support, we can identify four distinct models of engagement</w:t>
      </w:r>
      <w:r w:rsidR="007B4260">
        <w:t xml:space="preserve"> with </w:t>
      </w:r>
      <w:r w:rsidR="007B4260" w:rsidRPr="00114522">
        <w:rPr>
          <w:i/>
        </w:rPr>
        <w:t>supported ins</w:t>
      </w:r>
      <w:r w:rsidR="00114522" w:rsidRPr="00114522">
        <w:rPr>
          <w:i/>
        </w:rPr>
        <w:t>t</w:t>
      </w:r>
      <w:r w:rsidR="007B4260" w:rsidRPr="00114522">
        <w:rPr>
          <w:i/>
        </w:rPr>
        <w:t>itutions</w:t>
      </w:r>
      <w:r>
        <w:t>:</w:t>
      </w:r>
    </w:p>
    <w:p w:rsidR="00946103" w:rsidRDefault="00EB53CA" w:rsidP="00EB53CA">
      <w:pPr>
        <w:pStyle w:val="ListParagraph"/>
        <w:numPr>
          <w:ilvl w:val="0"/>
          <w:numId w:val="1"/>
        </w:numPr>
        <w:spacing w:line="240" w:lineRule="auto"/>
      </w:pPr>
      <w:r>
        <w:t xml:space="preserve">In relatively few cases </w:t>
      </w:r>
      <w:r w:rsidR="00114522">
        <w:t xml:space="preserve">the release of </w:t>
      </w:r>
      <w:r>
        <w:t xml:space="preserve">HESP funding </w:t>
      </w:r>
      <w:r w:rsidR="00114522">
        <w:t>w</w:t>
      </w:r>
      <w:r>
        <w:t>as preceded by a thorough planning process. As a result</w:t>
      </w:r>
      <w:r w:rsidR="00114522">
        <w:t xml:space="preserve">, </w:t>
      </w:r>
      <w:r>
        <w:t>significant funding commitment</w:t>
      </w:r>
      <w:r w:rsidR="001A11F4">
        <w:t>s</w:t>
      </w:r>
      <w:r w:rsidR="00114522">
        <w:t xml:space="preserve"> were made</w:t>
      </w:r>
      <w:r w:rsidR="001A11F4">
        <w:t>, leading to building</w:t>
      </w:r>
      <w:r>
        <w:t xml:space="preserve"> successful institutions. AUBG would serve as the best example here.</w:t>
      </w:r>
    </w:p>
    <w:p w:rsidR="001A11F4" w:rsidRDefault="001A11F4" w:rsidP="00EB53CA">
      <w:pPr>
        <w:pStyle w:val="ListParagraph"/>
        <w:numPr>
          <w:ilvl w:val="0"/>
          <w:numId w:val="1"/>
        </w:numPr>
        <w:spacing w:line="240" w:lineRule="auto"/>
      </w:pPr>
      <w:r>
        <w:t xml:space="preserve">In some cases we have been able to combine </w:t>
      </w:r>
      <w:r w:rsidR="00964D3B">
        <w:t xml:space="preserve">solid </w:t>
      </w:r>
      <w:r>
        <w:t>planning with building funding partnership</w:t>
      </w:r>
      <w:r w:rsidR="00964D3B">
        <w:t>s</w:t>
      </w:r>
      <w:r>
        <w:t xml:space="preserve"> with other donor organizations. This would perhaps serve as a most preferred way to provide institutional support. New Economic School and Sout</w:t>
      </w:r>
      <w:r w:rsidR="00964D3B">
        <w:t>h East European University</w:t>
      </w:r>
      <w:r>
        <w:t xml:space="preserve"> serve as the </w:t>
      </w:r>
      <w:r w:rsidR="00964D3B">
        <w:t xml:space="preserve">best </w:t>
      </w:r>
      <w:r>
        <w:t xml:space="preserve">examples </w:t>
      </w:r>
      <w:r w:rsidR="008A61A4">
        <w:t>of this approach</w:t>
      </w:r>
      <w:r>
        <w:t xml:space="preserve">. </w:t>
      </w:r>
    </w:p>
    <w:p w:rsidR="001A11F4" w:rsidRDefault="001A11F4" w:rsidP="00EB53CA">
      <w:pPr>
        <w:pStyle w:val="ListParagraph"/>
        <w:numPr>
          <w:ilvl w:val="0"/>
          <w:numId w:val="1"/>
        </w:numPr>
        <w:spacing w:line="240" w:lineRule="auto"/>
      </w:pPr>
      <w:r>
        <w:lastRenderedPageBreak/>
        <w:t xml:space="preserve">There are also cases when funding commitments have </w:t>
      </w:r>
      <w:r w:rsidR="00964D3B">
        <w:t>been made after</w:t>
      </w:r>
      <w:r>
        <w:t xml:space="preserve"> relatively limited preparatory work, or </w:t>
      </w:r>
      <w:r w:rsidR="00964D3B">
        <w:t xml:space="preserve">the plans </w:t>
      </w:r>
      <w:r w:rsidR="008A61A4">
        <w:t xml:space="preserve">submitted </w:t>
      </w:r>
      <w:r w:rsidR="00964D3B">
        <w:t>by</w:t>
      </w:r>
      <w:r>
        <w:t xml:space="preserve"> the institutions have not appeared entirely convincing. Usually this has led to limited fund</w:t>
      </w:r>
      <w:r w:rsidR="00964D3B">
        <w:t xml:space="preserve">ing commitments, often </w:t>
      </w:r>
      <w:r w:rsidR="008A61A4">
        <w:t xml:space="preserve">in a form of </w:t>
      </w:r>
      <w:r w:rsidR="00964D3B">
        <w:t>some sort of</w:t>
      </w:r>
      <w:r>
        <w:t xml:space="preserve"> emergency funding. Through the process of negotiating such grants </w:t>
      </w:r>
      <w:r w:rsidR="007D67CD">
        <w:t>and f</w:t>
      </w:r>
      <w:r w:rsidR="00964D3B">
        <w:t>urther trust-building with the F</w:t>
      </w:r>
      <w:r w:rsidR="007D67CD">
        <w:t xml:space="preserve">oundation, such grantees </w:t>
      </w:r>
      <w:r w:rsidR="00AB214F">
        <w:t xml:space="preserve">often continued seeking </w:t>
      </w:r>
      <w:r w:rsidR="007D67CD">
        <w:t xml:space="preserve">long-term funding at more significant levels. EHU as well as AUCA in its early years would </w:t>
      </w:r>
      <w:r w:rsidR="00964D3B">
        <w:t>serve as t</w:t>
      </w:r>
      <w:r w:rsidR="007D67CD">
        <w:t xml:space="preserve">he </w:t>
      </w:r>
      <w:r w:rsidR="00AB214F">
        <w:t xml:space="preserve">best </w:t>
      </w:r>
      <w:r w:rsidR="007D67CD">
        <w:t>examples here.</w:t>
      </w:r>
    </w:p>
    <w:p w:rsidR="007D67CD" w:rsidRDefault="007D67CD" w:rsidP="00EB53CA">
      <w:pPr>
        <w:pStyle w:val="ListParagraph"/>
        <w:numPr>
          <w:ilvl w:val="0"/>
          <w:numId w:val="1"/>
        </w:numPr>
        <w:spacing w:line="240" w:lineRule="auto"/>
      </w:pPr>
      <w:r>
        <w:t>Finally, there have been examples when significant funding commitments have been made despite</w:t>
      </w:r>
      <w:r w:rsidR="00AB214F">
        <w:t xml:space="preserve"> very</w:t>
      </w:r>
      <w:r>
        <w:t xml:space="preserve"> limited preparatory work. This is the riskiest of all patterns of engagement</w:t>
      </w:r>
      <w:r w:rsidR="00964D3B">
        <w:t xml:space="preserve"> and as such as </w:t>
      </w:r>
      <w:r w:rsidR="00AB214F">
        <w:t xml:space="preserve">prone to leading </w:t>
      </w:r>
      <w:r w:rsidR="00964D3B">
        <w:t xml:space="preserve">to major </w:t>
      </w:r>
      <w:r>
        <w:t>disappointments. Moscow School of Social and Economic Sciences would be one of such examples</w:t>
      </w:r>
      <w:r w:rsidR="00AB214F">
        <w:t xml:space="preserve"> were -</w:t>
      </w:r>
      <w:r w:rsidR="00887F75">
        <w:t xml:space="preserve"> while the concerns regarding</w:t>
      </w:r>
      <w:r w:rsidR="00964D3B">
        <w:t xml:space="preserve"> </w:t>
      </w:r>
      <w:r w:rsidR="00AB214F">
        <w:t xml:space="preserve">its </w:t>
      </w:r>
      <w:r w:rsidR="00964D3B">
        <w:t>transparency wer</w:t>
      </w:r>
      <w:r w:rsidR="00887F75">
        <w:t>e raised as early as in 1995,</w:t>
      </w:r>
      <w:r w:rsidR="00964D3B">
        <w:t xml:space="preserve"> HESP Board decided to discontinue </w:t>
      </w:r>
      <w:r w:rsidR="00AB214F">
        <w:t xml:space="preserve">the </w:t>
      </w:r>
      <w:r w:rsidR="00964D3B">
        <w:t>funding only in 2012</w:t>
      </w:r>
      <w:r>
        <w:t>. AUC</w:t>
      </w:r>
      <w:r w:rsidR="00887F75">
        <w:t>A is also an institution where</w:t>
      </w:r>
      <w:r>
        <w:t xml:space="preserve"> </w:t>
      </w:r>
      <w:r w:rsidR="00AB214F">
        <w:t xml:space="preserve">a </w:t>
      </w:r>
      <w:r w:rsidR="00887F75">
        <w:t>significant funding commitment was</w:t>
      </w:r>
      <w:r>
        <w:t xml:space="preserve"> made despite fairly limited planning, particularly since 2010.</w:t>
      </w:r>
    </w:p>
    <w:p w:rsidR="002052DE" w:rsidRDefault="00887F75" w:rsidP="002052DE">
      <w:pPr>
        <w:spacing w:after="0" w:line="240" w:lineRule="auto"/>
      </w:pPr>
      <w:r>
        <w:t>Defining success in institutional support</w:t>
      </w:r>
      <w:r w:rsidR="00ED5EEF">
        <w:t xml:space="preserve"> is necessarily a complex matter. It has been, for example, suggeste</w:t>
      </w:r>
      <w:r w:rsidR="00AB214F">
        <w:t>d that successful institutions sh</w:t>
      </w:r>
      <w:r w:rsidR="00ED5EEF">
        <w:t xml:space="preserve">ould </w:t>
      </w:r>
      <w:r>
        <w:t xml:space="preserve">be able </w:t>
      </w:r>
      <w:r w:rsidR="00AB214F">
        <w:t xml:space="preserve">to adhere to their initial missions. </w:t>
      </w:r>
      <w:r w:rsidR="00ED5EEF">
        <w:t>This, however, is not necessarily always a correct assumption. In a rapidly cha</w:t>
      </w:r>
      <w:r>
        <w:t>nging world ability to</w:t>
      </w:r>
      <w:r w:rsidR="00AB214F">
        <w:t xml:space="preserve"> adjust may</w:t>
      </w:r>
      <w:r>
        <w:t xml:space="preserve"> suggest</w:t>
      </w:r>
      <w:r w:rsidR="00ED5EEF">
        <w:t xml:space="preserve"> a </w:t>
      </w:r>
      <w:r w:rsidR="000B5745">
        <w:t>more successful institution than</w:t>
      </w:r>
      <w:r w:rsidR="00ED5EEF">
        <w:t xml:space="preserve"> the one led by a charismatic founding leader </w:t>
      </w:r>
      <w:r>
        <w:t xml:space="preserve">ignoring </w:t>
      </w:r>
      <w:r w:rsidR="00ED5EEF">
        <w:t xml:space="preserve">changes in the environment. For our purposes we consider successful institutions </w:t>
      </w:r>
      <w:r w:rsidR="000B5745">
        <w:t xml:space="preserve">as those </w:t>
      </w:r>
      <w:r w:rsidR="00ED5EEF">
        <w:t>from which we have been able to disengage without causing a major disruption</w:t>
      </w:r>
      <w:r>
        <w:t xml:space="preserve"> and</w:t>
      </w:r>
      <w:r w:rsidR="00ED5EEF">
        <w:t xml:space="preserve"> the institution</w:t>
      </w:r>
      <w:r>
        <w:t xml:space="preserve"> has been able to continue its</w:t>
      </w:r>
      <w:r w:rsidR="00ED5EEF">
        <w:t xml:space="preserve"> core activities. </w:t>
      </w:r>
      <w:r w:rsidR="002052DE">
        <w:t xml:space="preserve">This, I would suggest, </w:t>
      </w:r>
      <w:r>
        <w:t xml:space="preserve">usually </w:t>
      </w:r>
      <w:r w:rsidR="002052DE">
        <w:t>requires meeting three major requirements:</w:t>
      </w:r>
    </w:p>
    <w:p w:rsidR="007D67CD" w:rsidRDefault="002052DE" w:rsidP="002052DE">
      <w:pPr>
        <w:pStyle w:val="ListParagraph"/>
        <w:numPr>
          <w:ilvl w:val="0"/>
          <w:numId w:val="2"/>
        </w:numPr>
        <w:spacing w:after="0" w:line="240" w:lineRule="auto"/>
      </w:pPr>
      <w:r>
        <w:t>Adequate leadership (individual and team leadership) being provided at the institution.</w:t>
      </w:r>
    </w:p>
    <w:p w:rsidR="002052DE" w:rsidRDefault="002052DE" w:rsidP="002052DE">
      <w:pPr>
        <w:pStyle w:val="ListParagraph"/>
        <w:numPr>
          <w:ilvl w:val="0"/>
          <w:numId w:val="2"/>
        </w:numPr>
        <w:spacing w:after="0" w:line="240" w:lineRule="auto"/>
      </w:pPr>
      <w:r>
        <w:t>Solid plan or a roadmap for building the institution being in place.</w:t>
      </w:r>
    </w:p>
    <w:p w:rsidR="002052DE" w:rsidRDefault="002052DE" w:rsidP="002052DE">
      <w:pPr>
        <w:pStyle w:val="ListParagraph"/>
        <w:numPr>
          <w:ilvl w:val="0"/>
          <w:numId w:val="2"/>
        </w:numPr>
        <w:spacing w:after="0" w:line="240" w:lineRule="auto"/>
      </w:pPr>
      <w:r>
        <w:t xml:space="preserve">Institution operating in an environment that shows some support to its </w:t>
      </w:r>
      <w:r w:rsidR="00887F75">
        <w:t>mission,</w:t>
      </w:r>
      <w:r>
        <w:t xml:space="preserve"> activities</w:t>
      </w:r>
      <w:r w:rsidR="00887F75">
        <w:t xml:space="preserve"> and ambitions</w:t>
      </w:r>
      <w:r>
        <w:t>.</w:t>
      </w:r>
    </w:p>
    <w:p w:rsidR="002052DE" w:rsidRDefault="002052DE" w:rsidP="002052DE">
      <w:pPr>
        <w:spacing w:after="0" w:line="240" w:lineRule="auto"/>
      </w:pPr>
      <w:r>
        <w:t xml:space="preserve">While the mix of </w:t>
      </w:r>
      <w:r w:rsidR="00887F75">
        <w:t xml:space="preserve">the levels of various </w:t>
      </w:r>
      <w:r>
        <w:t xml:space="preserve">variables required for an institution to </w:t>
      </w:r>
      <w:r w:rsidR="00887F75">
        <w:t xml:space="preserve">succeed </w:t>
      </w:r>
      <w:r>
        <w:t xml:space="preserve">necessarily differ, </w:t>
      </w:r>
      <w:r w:rsidR="00887F75">
        <w:t xml:space="preserve">I would suggest </w:t>
      </w:r>
      <w:r>
        <w:t>that an institution with inadequate leadership and no plan to rely on, placed in an unfriendly envi</w:t>
      </w:r>
      <w:r w:rsidR="000B5745">
        <w:t>ronment leaves little hope for</w:t>
      </w:r>
      <w:r>
        <w:t xml:space="preserve"> success.</w:t>
      </w:r>
    </w:p>
    <w:p w:rsidR="002052DE" w:rsidRDefault="002052DE" w:rsidP="002052DE">
      <w:pPr>
        <w:spacing w:after="0" w:line="240" w:lineRule="auto"/>
      </w:pPr>
    </w:p>
    <w:p w:rsidR="002052DE" w:rsidRDefault="0065403E" w:rsidP="002052DE">
      <w:pPr>
        <w:spacing w:after="0" w:line="240" w:lineRule="auto"/>
      </w:pPr>
      <w:r w:rsidRPr="0065403E">
        <w:rPr>
          <w:u w:val="single"/>
        </w:rPr>
        <w:t>Questions, Chris Stone</w:t>
      </w:r>
      <w:r>
        <w:t>:</w:t>
      </w:r>
      <w:r w:rsidR="002052DE">
        <w:t xml:space="preserve"> </w:t>
      </w:r>
    </w:p>
    <w:p w:rsidR="0065403E" w:rsidRDefault="00CE3D67" w:rsidP="00CE3D67">
      <w:pPr>
        <w:pStyle w:val="ListParagraph"/>
        <w:numPr>
          <w:ilvl w:val="0"/>
          <w:numId w:val="3"/>
        </w:numPr>
        <w:spacing w:after="0" w:line="240" w:lineRule="auto"/>
      </w:pPr>
      <w:r>
        <w:t xml:space="preserve">The paper clearly lays out the </w:t>
      </w:r>
      <w:r w:rsidR="00B51281">
        <w:t xml:space="preserve">initial </w:t>
      </w:r>
      <w:r>
        <w:t>goals of HESP institutional support:</w:t>
      </w:r>
    </w:p>
    <w:p w:rsidR="00CE3D67" w:rsidRDefault="00CE3D67" w:rsidP="00CE3D67">
      <w:pPr>
        <w:pStyle w:val="ListParagraph"/>
        <w:numPr>
          <w:ilvl w:val="0"/>
          <w:numId w:val="4"/>
        </w:numPr>
        <w:spacing w:after="0" w:line="240" w:lineRule="auto"/>
      </w:pPr>
      <w:r>
        <w:t>To come up with new organizational models on which CEE-fSU societies could rely on building new systems of higher education;</w:t>
      </w:r>
    </w:p>
    <w:p w:rsidR="00CE3D67" w:rsidRDefault="00CE3D67" w:rsidP="00CE3D67">
      <w:pPr>
        <w:pStyle w:val="ListParagraph"/>
        <w:numPr>
          <w:ilvl w:val="0"/>
          <w:numId w:val="4"/>
        </w:numPr>
        <w:spacing w:after="0" w:line="240" w:lineRule="auto"/>
      </w:pPr>
      <w:r>
        <w:t>Training the next generation political and intellectual leaders for the post-communist societies;</w:t>
      </w:r>
    </w:p>
    <w:p w:rsidR="00CE3D67" w:rsidRDefault="00CE3D67" w:rsidP="00CE3D67">
      <w:pPr>
        <w:pStyle w:val="ListParagraph"/>
        <w:numPr>
          <w:ilvl w:val="0"/>
          <w:numId w:val="4"/>
        </w:numPr>
        <w:spacing w:after="0" w:line="240" w:lineRule="auto"/>
      </w:pPr>
      <w:r>
        <w:t>To create a knowledge base for the new, democratic societies;</w:t>
      </w:r>
    </w:p>
    <w:p w:rsidR="00CE3D67" w:rsidRDefault="00CE3D67" w:rsidP="00CE3D67">
      <w:pPr>
        <w:pStyle w:val="ListParagraph"/>
        <w:numPr>
          <w:ilvl w:val="0"/>
          <w:numId w:val="4"/>
        </w:numPr>
        <w:spacing w:after="0" w:line="240" w:lineRule="auto"/>
      </w:pPr>
      <w:r>
        <w:t>Setting new standards with regard to relevance and quality, particularly in the humanities and social sciences, in the post-communist region.</w:t>
      </w:r>
    </w:p>
    <w:p w:rsidR="00CE3D67" w:rsidRDefault="00CE3D67" w:rsidP="00CE3D67">
      <w:pPr>
        <w:spacing w:after="0" w:line="240" w:lineRule="auto"/>
        <w:ind w:firstLine="720"/>
      </w:pPr>
      <w:r>
        <w:t>The report does not, however, indicate the level to which these goals have been met.</w:t>
      </w:r>
    </w:p>
    <w:p w:rsidR="00CE3D67" w:rsidRDefault="00CE3D67" w:rsidP="00CE3D67">
      <w:pPr>
        <w:spacing w:after="0" w:line="240" w:lineRule="auto"/>
      </w:pPr>
    </w:p>
    <w:p w:rsidR="00CE3D67" w:rsidRDefault="00CE3D67" w:rsidP="00CE3D67">
      <w:pPr>
        <w:pStyle w:val="ListParagraph"/>
        <w:numPr>
          <w:ilvl w:val="0"/>
          <w:numId w:val="3"/>
        </w:numPr>
        <w:spacing w:after="0" w:line="240" w:lineRule="auto"/>
      </w:pPr>
      <w:r>
        <w:t>The report, while stressing the importance of leadership, does not discus</w:t>
      </w:r>
      <w:r w:rsidR="00B51281">
        <w:t>s governance. However, has the c</w:t>
      </w:r>
      <w:r>
        <w:t xml:space="preserve">ase of </w:t>
      </w:r>
      <w:r w:rsidR="000B5745">
        <w:t>AUBG demonstrates, mistakes have been</w:t>
      </w:r>
      <w:r w:rsidR="007B1E83">
        <w:t xml:space="preserve"> made at the </w:t>
      </w:r>
      <w:r w:rsidR="000B5745">
        <w:t>level of governance</w:t>
      </w:r>
      <w:r w:rsidR="00B51281">
        <w:t xml:space="preserve"> while OSF wa</w:t>
      </w:r>
      <w:r w:rsidR="007B1E83">
        <w:t xml:space="preserve">s represented in AUBG’s Board of Trustees. How should we be working at the level of governance with our grantees? Should we </w:t>
      </w:r>
      <w:r w:rsidR="00B51281">
        <w:t xml:space="preserve">be </w:t>
      </w:r>
      <w:r w:rsidR="007B1E83">
        <w:t>taking certain numbers of seats in the governing b</w:t>
      </w:r>
      <w:r w:rsidR="00B51281">
        <w:t>odies of grantee</w:t>
      </w:r>
      <w:r w:rsidR="007B1E83">
        <w:t xml:space="preserve"> organizations?</w:t>
      </w:r>
    </w:p>
    <w:p w:rsidR="007B1E83" w:rsidRDefault="007B1E83" w:rsidP="00CE3D67">
      <w:pPr>
        <w:pStyle w:val="ListParagraph"/>
        <w:numPr>
          <w:ilvl w:val="0"/>
          <w:numId w:val="3"/>
        </w:numPr>
        <w:spacing w:after="0" w:line="240" w:lineRule="auto"/>
      </w:pPr>
      <w:r>
        <w:t>The report shows that significant part of HESP funding to instit</w:t>
      </w:r>
      <w:r w:rsidR="000B5745">
        <w:t>utions has been given for</w:t>
      </w:r>
      <w:r>
        <w:t xml:space="preserve"> scholarships</w:t>
      </w:r>
      <w:r w:rsidR="000B5745">
        <w:t xml:space="preserve"> purposes</w:t>
      </w:r>
      <w:r>
        <w:t>. What was the purpose of structuring our funding in such a manner? What have we learned from this?</w:t>
      </w:r>
    </w:p>
    <w:p w:rsidR="000529DE" w:rsidRDefault="000529DE" w:rsidP="000529DE">
      <w:pPr>
        <w:spacing w:after="0" w:line="240" w:lineRule="auto"/>
      </w:pPr>
    </w:p>
    <w:p w:rsidR="00B51281" w:rsidRDefault="000529DE" w:rsidP="007B1E83">
      <w:pPr>
        <w:spacing w:after="0" w:line="240" w:lineRule="auto"/>
        <w:rPr>
          <w:u w:val="single"/>
        </w:rPr>
      </w:pPr>
      <w:r w:rsidRPr="000529DE">
        <w:rPr>
          <w:u w:val="single"/>
        </w:rPr>
        <w:t>Response, Voldemar Tomusk</w:t>
      </w:r>
      <w:r w:rsidR="00AF34AB">
        <w:rPr>
          <w:u w:val="single"/>
        </w:rPr>
        <w:t>:</w:t>
      </w:r>
    </w:p>
    <w:p w:rsidR="00B03244" w:rsidRPr="00B51281" w:rsidRDefault="00AF34AB" w:rsidP="007B1E83">
      <w:pPr>
        <w:spacing w:after="0" w:line="240" w:lineRule="auto"/>
        <w:rPr>
          <w:u w:val="single"/>
        </w:rPr>
      </w:pPr>
      <w:r>
        <w:lastRenderedPageBreak/>
        <w:t>In a ret</w:t>
      </w:r>
      <w:r w:rsidR="00B51281">
        <w:t>rospect, it is surprising to notice</w:t>
      </w:r>
      <w:r>
        <w:t xml:space="preserve"> how little attention </w:t>
      </w:r>
      <w:r w:rsidR="00B51281">
        <w:t xml:space="preserve">we at HESP </w:t>
      </w:r>
      <w:r>
        <w:t xml:space="preserve">paid to the </w:t>
      </w:r>
      <w:r w:rsidR="000B5745">
        <w:t xml:space="preserve">reasons why </w:t>
      </w:r>
      <w:r>
        <w:t>these institutions were</w:t>
      </w:r>
      <w:r w:rsidR="00B51281">
        <w:t xml:space="preserve"> initially</w:t>
      </w:r>
      <w:r>
        <w:t xml:space="preserve"> founded</w:t>
      </w:r>
      <w:r w:rsidR="00B51281">
        <w:t xml:space="preserve"> and supported by OSF. This applies both to HESP Board as well as staff. </w:t>
      </w:r>
      <w:r w:rsidR="000B5745">
        <w:t>At times a view was taken</w:t>
      </w:r>
      <w:r>
        <w:t xml:space="preserve"> that supporting higher education in CEE-fSU countries was a good thing to do</w:t>
      </w:r>
      <w:r w:rsidR="000B5745">
        <w:t xml:space="preserve"> without any further consideration</w:t>
      </w:r>
      <w:r>
        <w:t xml:space="preserve">, and as long as OSF senior leadership agreed to continue, the funding was to </w:t>
      </w:r>
      <w:r w:rsidR="00B51281">
        <w:t>go on.</w:t>
      </w:r>
      <w:r>
        <w:t xml:space="preserve"> At times a senior staff member o</w:t>
      </w:r>
      <w:r w:rsidR="00AD2912">
        <w:t>r a member of HESP</w:t>
      </w:r>
      <w:r>
        <w:t xml:space="preserve"> Board </w:t>
      </w:r>
      <w:r w:rsidR="00AD2912">
        <w:t>might have developed a favourable, though mostly unsubstantiated,</w:t>
      </w:r>
      <w:r>
        <w:t xml:space="preserve"> </w:t>
      </w:r>
      <w:r w:rsidR="00AD2912">
        <w:t>view</w:t>
      </w:r>
      <w:r>
        <w:t xml:space="preserve"> on an institution or its leader. For a better or worse, such opinions often masked the actual performance of any particular institution. The question how the institutions actually performed in terms of the set goals was hardly ever asked; certainly not beyond the level of the numbers of graduates produced. </w:t>
      </w:r>
      <w:r w:rsidR="00B03244">
        <w:t xml:space="preserve">Towards the end of the 1990’s a question regarding the sustainability of the institutions </w:t>
      </w:r>
      <w:r w:rsidR="00AD2912">
        <w:t xml:space="preserve">became to be </w:t>
      </w:r>
      <w:r w:rsidR="00B03244">
        <w:t xml:space="preserve">regularly asked as a response to </w:t>
      </w:r>
      <w:r w:rsidR="000B5745">
        <w:t xml:space="preserve">several of them having </w:t>
      </w:r>
      <w:r w:rsidR="00B03244">
        <w:t xml:space="preserve">difficulties widening their funding base. </w:t>
      </w:r>
      <w:r w:rsidR="00AD2912">
        <w:t>I</w:t>
      </w:r>
      <w:r w:rsidR="00B03244">
        <w:t xml:space="preserve">t was </w:t>
      </w:r>
      <w:r w:rsidR="00AD2912">
        <w:t xml:space="preserve">perhaps tacitly </w:t>
      </w:r>
      <w:r w:rsidR="00B03244">
        <w:t xml:space="preserve">assumed that the institutions’ initial set up </w:t>
      </w:r>
      <w:r w:rsidR="00AD2912">
        <w:t xml:space="preserve">and the individuals involved were </w:t>
      </w:r>
      <w:r w:rsidR="00B03244">
        <w:t>sufficient for the meeting of their goals. This was perhaps not an entirely correct assumption.</w:t>
      </w:r>
      <w:r w:rsidR="00AD2912">
        <w:t xml:space="preserve"> As early as in 1997 we started reviewing HESP supported institutions.  </w:t>
      </w:r>
      <w:r w:rsidR="009C303F">
        <w:t xml:space="preserve">These review exercises became, however, to a certain degree politicised. </w:t>
      </w:r>
    </w:p>
    <w:p w:rsidR="00B03244" w:rsidRDefault="00B03244" w:rsidP="007B1E83">
      <w:pPr>
        <w:spacing w:after="0" w:line="240" w:lineRule="auto"/>
      </w:pPr>
    </w:p>
    <w:p w:rsidR="00CA4C5C" w:rsidRDefault="009C303F" w:rsidP="007B1E83">
      <w:pPr>
        <w:spacing w:after="0" w:line="240" w:lineRule="auto"/>
      </w:pPr>
      <w:r>
        <w:t>As</w:t>
      </w:r>
      <w:r w:rsidR="00B03244">
        <w:t xml:space="preserve"> </w:t>
      </w:r>
      <w:r w:rsidR="00361651">
        <w:t xml:space="preserve">the </w:t>
      </w:r>
      <w:r w:rsidR="00B03244">
        <w:t xml:space="preserve">higher education reforms in the CEE-fSU region remained less radical than we expected, the need for new institutional models </w:t>
      </w:r>
      <w:r>
        <w:t xml:space="preserve">and accordingly willingness to </w:t>
      </w:r>
      <w:r w:rsidR="00361651">
        <w:t>introduce the models we supported</w:t>
      </w:r>
      <w:r>
        <w:t xml:space="preserve"> </w:t>
      </w:r>
      <w:r w:rsidR="00B03244">
        <w:t>was l</w:t>
      </w:r>
      <w:r>
        <w:t xml:space="preserve">ower </w:t>
      </w:r>
      <w:r w:rsidR="00B03244">
        <w:t xml:space="preserve">than initially </w:t>
      </w:r>
      <w:r>
        <w:t>expected</w:t>
      </w:r>
      <w:r w:rsidR="00B03244">
        <w:t>. Moreover, the models we</w:t>
      </w:r>
      <w:r>
        <w:t xml:space="preserve"> had on </w:t>
      </w:r>
      <w:r w:rsidR="00B03244">
        <w:t>offer</w:t>
      </w:r>
      <w:r>
        <w:t xml:space="preserve"> – independent boutique-type </w:t>
      </w:r>
      <w:r w:rsidR="00B03244">
        <w:t xml:space="preserve">graduate schools and liberal arts colleges </w:t>
      </w:r>
      <w:r>
        <w:t xml:space="preserve">- </w:t>
      </w:r>
      <w:r w:rsidR="00B03244">
        <w:t>were not necessarily replicable in the context of the rapidly massifying</w:t>
      </w:r>
      <w:r>
        <w:t xml:space="preserve"> </w:t>
      </w:r>
      <w:r w:rsidR="00B03244">
        <w:t>low-cost systems higher educations</w:t>
      </w:r>
      <w:r>
        <w:t xml:space="preserve"> in the midst of an economic meltdown</w:t>
      </w:r>
      <w:r w:rsidR="00B03244">
        <w:t xml:space="preserve">. </w:t>
      </w:r>
      <w:r w:rsidR="00CA4C5C">
        <w:t>While universities</w:t>
      </w:r>
      <w:r>
        <w:t>’ governing structures have experience</w:t>
      </w:r>
      <w:r w:rsidR="00361651">
        <w:t>d</w:t>
      </w:r>
      <w:r w:rsidR="00CA4C5C">
        <w:t xml:space="preserve"> significant development over the past 25 years</w:t>
      </w:r>
      <w:r>
        <w:t xml:space="preserve"> in several CEE-fSU countries</w:t>
      </w:r>
      <w:r w:rsidR="00CA4C5C">
        <w:t>, it would be hard to attribute this to the impact of HESP supported institutions, although there might be some co</w:t>
      </w:r>
      <w:r>
        <w:t xml:space="preserve">nnection there in some </w:t>
      </w:r>
      <w:r w:rsidR="00361651">
        <w:t>locations</w:t>
      </w:r>
      <w:r w:rsidR="00CA4C5C">
        <w:t>.</w:t>
      </w:r>
    </w:p>
    <w:p w:rsidR="00CA4C5C" w:rsidRDefault="00CA4C5C" w:rsidP="007B1E83">
      <w:pPr>
        <w:spacing w:after="0" w:line="240" w:lineRule="auto"/>
      </w:pPr>
    </w:p>
    <w:p w:rsidR="007B1E83" w:rsidRDefault="00CA4C5C" w:rsidP="007B1E83">
      <w:pPr>
        <w:spacing w:after="0" w:line="240" w:lineRule="auto"/>
      </w:pPr>
      <w:r>
        <w:t xml:space="preserve">Talking about training the next </w:t>
      </w:r>
      <w:r w:rsidR="00361651">
        <w:t>generation of leaders, focusing on</w:t>
      </w:r>
      <w:r>
        <w:t xml:space="preserve"> the undergraduate or even the </w:t>
      </w:r>
      <w:r w:rsidR="00361651">
        <w:t xml:space="preserve">usual </w:t>
      </w:r>
      <w:r>
        <w:t xml:space="preserve">graduate </w:t>
      </w:r>
      <w:r w:rsidR="009C303F">
        <w:t>training-</w:t>
      </w:r>
      <w:r>
        <w:t>level population</w:t>
      </w:r>
      <w:r w:rsidR="009C303F">
        <w:t>s</w:t>
      </w:r>
      <w:r>
        <w:t xml:space="preserve"> for such a purpose w</w:t>
      </w:r>
      <w:r w:rsidR="009C303F">
        <w:t xml:space="preserve">as perhaps somewhat misplaced – </w:t>
      </w:r>
      <w:r>
        <w:t xml:space="preserve">suggesting a delay of 10 to 15 years. For this purpose it would perhaps </w:t>
      </w:r>
      <w:r w:rsidR="00361651">
        <w:t xml:space="preserve">have </w:t>
      </w:r>
      <w:r>
        <w:t>been more realistic and eventually effective to engage with promising profe</w:t>
      </w:r>
      <w:r w:rsidR="009C303F">
        <w:t>ssionals</w:t>
      </w:r>
      <w:r w:rsidR="00361651">
        <w:t>, intellectuals and politicians</w:t>
      </w:r>
      <w:r w:rsidR="009C303F">
        <w:t xml:space="preserve"> some ten years more sen</w:t>
      </w:r>
      <w:r>
        <w:t>io</w:t>
      </w:r>
      <w:r w:rsidR="009C303F">
        <w:t>r</w:t>
      </w:r>
      <w:r>
        <w:t>.</w:t>
      </w:r>
    </w:p>
    <w:p w:rsidR="00CA4C5C" w:rsidRDefault="00CA4C5C" w:rsidP="007B1E83">
      <w:pPr>
        <w:spacing w:after="0" w:line="240" w:lineRule="auto"/>
      </w:pPr>
    </w:p>
    <w:p w:rsidR="002640E2" w:rsidRDefault="00CA4C5C" w:rsidP="007B1E83">
      <w:pPr>
        <w:spacing w:after="0" w:line="240" w:lineRule="auto"/>
      </w:pPr>
      <w:r>
        <w:t>Our graduate training institutions, suc</w:t>
      </w:r>
      <w:r w:rsidR="00251305">
        <w:t>h as GSSR, EUSP, NES have mad</w:t>
      </w:r>
      <w:r>
        <w:t xml:space="preserve"> significant contributi</w:t>
      </w:r>
      <w:r w:rsidR="00A668F2">
        <w:t>on</w:t>
      </w:r>
      <w:r w:rsidR="005D2EDC">
        <w:t>s</w:t>
      </w:r>
      <w:r w:rsidR="00A668F2">
        <w:t xml:space="preserve"> to creating knowledge for</w:t>
      </w:r>
      <w:r>
        <w:t xml:space="preserve"> successful functioning of democratic societies</w:t>
      </w:r>
      <w:r w:rsidR="002640E2">
        <w:t>, often</w:t>
      </w:r>
      <w:r w:rsidR="00251305">
        <w:t xml:space="preserve"> assuming leading roles in</w:t>
      </w:r>
      <w:r w:rsidR="002640E2">
        <w:t xml:space="preserve"> particular disciplines – economics, sociology, political sciences</w:t>
      </w:r>
      <w:r w:rsidR="005D2EDC">
        <w:t xml:space="preserve"> and others</w:t>
      </w:r>
      <w:r w:rsidR="002640E2">
        <w:t>. There are two issues, though, that should be mentioned. First, n</w:t>
      </w:r>
      <w:r w:rsidR="00A668F2">
        <w:t xml:space="preserve">ot always does the knowledge </w:t>
      </w:r>
      <w:r w:rsidR="005D2EDC">
        <w:t xml:space="preserve">produced by </w:t>
      </w:r>
      <w:r w:rsidR="00A668F2">
        <w:t>scholars motivated</w:t>
      </w:r>
      <w:r w:rsidR="005D2EDC">
        <w:t xml:space="preserve"> to</w:t>
      </w:r>
      <w:r w:rsidR="002640E2">
        <w:t xml:space="preserve"> </w:t>
      </w:r>
      <w:r w:rsidR="005D2EDC">
        <w:t>build</w:t>
      </w:r>
      <w:r w:rsidR="002640E2">
        <w:t xml:space="preserve"> </w:t>
      </w:r>
      <w:r w:rsidR="00A668F2">
        <w:t xml:space="preserve">records of </w:t>
      </w:r>
      <w:r w:rsidR="002640E2">
        <w:t xml:space="preserve">international </w:t>
      </w:r>
      <w:r w:rsidR="002640E2" w:rsidRPr="005D2EDC">
        <w:t>publications contribute</w:t>
      </w:r>
      <w:r w:rsidR="005D2EDC">
        <w:t xml:space="preserve"> to the development in their local settings</w:t>
      </w:r>
      <w:r w:rsidR="002640E2" w:rsidRPr="005D2EDC">
        <w:t xml:space="preserve">. Second, one can also </w:t>
      </w:r>
      <w:r w:rsidR="005D2EDC">
        <w:t xml:space="preserve">sometimes </w:t>
      </w:r>
      <w:r w:rsidR="00251305">
        <w:t xml:space="preserve">notice </w:t>
      </w:r>
      <w:r w:rsidR="002640E2">
        <w:t>sophisticated language games being played</w:t>
      </w:r>
      <w:r w:rsidR="005D2EDC">
        <w:t>, motivated by particular intellectual fashions, that may succeed criticising and deconstructing each and every</w:t>
      </w:r>
      <w:r w:rsidR="002640E2">
        <w:t xml:space="preserve"> </w:t>
      </w:r>
      <w:r w:rsidR="005D2EDC">
        <w:t xml:space="preserve">idea </w:t>
      </w:r>
      <w:r w:rsidR="00251305">
        <w:t>available</w:t>
      </w:r>
      <w:r w:rsidR="005D2EDC">
        <w:t xml:space="preserve">, but showing little way forward. </w:t>
      </w:r>
    </w:p>
    <w:p w:rsidR="005D2EDC" w:rsidRDefault="005D2EDC" w:rsidP="007B1E83">
      <w:pPr>
        <w:spacing w:after="0" w:line="240" w:lineRule="auto"/>
      </w:pPr>
    </w:p>
    <w:p w:rsidR="00004BA1" w:rsidRDefault="002640E2" w:rsidP="007B1E83">
      <w:pPr>
        <w:spacing w:after="0" w:line="240" w:lineRule="auto"/>
      </w:pPr>
      <w:r>
        <w:t xml:space="preserve"> Setting new standards </w:t>
      </w:r>
      <w:r w:rsidR="005D2EDC">
        <w:t xml:space="preserve">for scholarship </w:t>
      </w:r>
      <w:r>
        <w:t>has also been a</w:t>
      </w:r>
      <w:r w:rsidR="005D2EDC">
        <w:t>n issu</w:t>
      </w:r>
      <w:r w:rsidR="00251305">
        <w:t>e of</w:t>
      </w:r>
      <w:r w:rsidR="005D2EDC">
        <w:t xml:space="preserve"> certain degree of complexity</w:t>
      </w:r>
      <w:r>
        <w:t>. While the relatively high level of training provided by HESP supported institutions is usually acknowledged, local quality assurance procedures that often follow particular kind</w:t>
      </w:r>
      <w:r w:rsidR="009572F0">
        <w:t>s</w:t>
      </w:r>
      <w:r>
        <w:t xml:space="preserve"> of bureaucratic logic</w:t>
      </w:r>
      <w:r w:rsidR="009572F0">
        <w:t>s</w:t>
      </w:r>
      <w:r>
        <w:t xml:space="preserve"> </w:t>
      </w:r>
      <w:r w:rsidR="00251305">
        <w:t xml:space="preserve">may </w:t>
      </w:r>
      <w:r>
        <w:t>not only cause</w:t>
      </w:r>
      <w:r w:rsidR="009572F0">
        <w:t xml:space="preserve"> difficulties for</w:t>
      </w:r>
      <w:r>
        <w:t xml:space="preserve"> the formal recognition of our institutions and the degrees they award, but also </w:t>
      </w:r>
      <w:r w:rsidR="00004BA1">
        <w:t>limit the spread of their distinct models of curricula and philosophies of education.</w:t>
      </w:r>
    </w:p>
    <w:p w:rsidR="00004BA1" w:rsidRDefault="00004BA1" w:rsidP="007B1E83">
      <w:pPr>
        <w:spacing w:after="0" w:line="240" w:lineRule="auto"/>
      </w:pPr>
    </w:p>
    <w:p w:rsidR="00004BA1" w:rsidRDefault="00004BA1" w:rsidP="007B1E83">
      <w:pPr>
        <w:spacing w:after="0" w:line="240" w:lineRule="auto"/>
      </w:pPr>
      <w:r>
        <w:t>Making impact on academic organizations through their governing structures is not a straight-forward issue, as the trustee</w:t>
      </w:r>
      <w:r w:rsidR="00251305">
        <w:t>s are usually expected to represent</w:t>
      </w:r>
      <w:r>
        <w:t xml:space="preserve"> the interest</w:t>
      </w:r>
      <w:r w:rsidR="009572F0">
        <w:t>s</w:t>
      </w:r>
      <w:r>
        <w:t xml:space="preserve"> of the particular </w:t>
      </w:r>
      <w:r w:rsidR="00251305">
        <w:t xml:space="preserve">educational </w:t>
      </w:r>
      <w:r>
        <w:t xml:space="preserve">institutions rather than </w:t>
      </w:r>
      <w:r w:rsidR="009572F0">
        <w:t xml:space="preserve">expected to </w:t>
      </w:r>
      <w:r>
        <w:t>act as representative</w:t>
      </w:r>
      <w:r w:rsidR="009572F0">
        <w:t>s</w:t>
      </w:r>
      <w:r>
        <w:t xml:space="preserve"> of </w:t>
      </w:r>
      <w:r w:rsidR="00251305">
        <w:t>various</w:t>
      </w:r>
      <w:r w:rsidR="009572F0">
        <w:t xml:space="preserve"> </w:t>
      </w:r>
      <w:r>
        <w:t>donor organization</w:t>
      </w:r>
      <w:r w:rsidR="009572F0">
        <w:t>s</w:t>
      </w:r>
      <w:r>
        <w:t>. Having said that, in case</w:t>
      </w:r>
      <w:r w:rsidR="009572F0">
        <w:t>s</w:t>
      </w:r>
      <w:r>
        <w:t xml:space="preserve"> such as </w:t>
      </w:r>
      <w:r w:rsidR="009572F0">
        <w:t xml:space="preserve">for example </w:t>
      </w:r>
      <w:r>
        <w:t>mentioned in</w:t>
      </w:r>
      <w:r w:rsidR="009572F0">
        <w:t xml:space="preserve"> the context of AUBG, </w:t>
      </w:r>
      <w:r w:rsidR="009572F0">
        <w:lastRenderedPageBreak/>
        <w:t>given</w:t>
      </w:r>
      <w:r>
        <w:t xml:space="preserve"> </w:t>
      </w:r>
      <w:r w:rsidR="009572F0">
        <w:t xml:space="preserve">the information that was available to us at the time, </w:t>
      </w:r>
      <w:r>
        <w:t>one would have expected a considerably stron</w:t>
      </w:r>
      <w:r w:rsidR="009572F0">
        <w:t xml:space="preserve">ger position to be taken at the AUBG Board </w:t>
      </w:r>
      <w:r w:rsidR="00251305">
        <w:t xml:space="preserve">as well as </w:t>
      </w:r>
      <w:r w:rsidR="009572F0">
        <w:t>at HESP.</w:t>
      </w:r>
    </w:p>
    <w:p w:rsidR="00004BA1" w:rsidRDefault="00004BA1" w:rsidP="007B1E83">
      <w:pPr>
        <w:spacing w:after="0" w:line="240" w:lineRule="auto"/>
      </w:pPr>
    </w:p>
    <w:p w:rsidR="00CA4C5C" w:rsidRDefault="00004BA1" w:rsidP="007B1E83">
      <w:pPr>
        <w:spacing w:after="0" w:line="240" w:lineRule="auto"/>
      </w:pPr>
      <w:r>
        <w:t xml:space="preserve">Finally, structuring HESP funding as scholarship support </w:t>
      </w:r>
      <w:r w:rsidR="00251305">
        <w:t xml:space="preserve">has </w:t>
      </w:r>
      <w:r>
        <w:t>served through broad goals. First, we used it as an instrument to introduce the idea of educational market</w:t>
      </w:r>
      <w:r w:rsidR="009572F0">
        <w:t>s, largely unknown at that point</w:t>
      </w:r>
      <w:r>
        <w:t xml:space="preserve"> in the region</w:t>
      </w:r>
      <w:r w:rsidR="009572F0">
        <w:t>. We aimed at getting across a</w:t>
      </w:r>
      <w:r>
        <w:t xml:space="preserve"> message that there was no such thing as free higher education </w:t>
      </w:r>
      <w:r w:rsidR="00251305">
        <w:t xml:space="preserve">and </w:t>
      </w:r>
      <w:r>
        <w:t>that somebody necessarily paid for it</w:t>
      </w:r>
      <w:r w:rsidR="00251305">
        <w:t>. We</w:t>
      </w:r>
      <w:r w:rsidR="009572F0">
        <w:t xml:space="preserve"> expected </w:t>
      </w:r>
      <w:r>
        <w:t>that</w:t>
      </w:r>
      <w:r w:rsidR="00251305">
        <w:t>,</w:t>
      </w:r>
      <w:r>
        <w:t xml:space="preserve"> as we funded certain numbers of scholarships, the recipient ins</w:t>
      </w:r>
      <w:r w:rsidR="00E9307C">
        <w:t>t</w:t>
      </w:r>
      <w:r w:rsidR="00251305">
        <w:t>itutions and other founders w</w:t>
      </w:r>
      <w:r>
        <w:t xml:space="preserve">ould structure their </w:t>
      </w:r>
      <w:r w:rsidR="00E9307C">
        <w:t>cooperation accordingly.</w:t>
      </w:r>
      <w:r>
        <w:t xml:space="preserve"> </w:t>
      </w:r>
      <w:r w:rsidR="00807D9B">
        <w:t xml:space="preserve">That approach has worked in some places, however over the past few years populist political agendas in several countries have challenged the </w:t>
      </w:r>
      <w:r w:rsidR="00251305">
        <w:t xml:space="preserve">very </w:t>
      </w:r>
      <w:r w:rsidR="00807D9B">
        <w:t>idea of educational markets.</w:t>
      </w:r>
      <w:r>
        <w:t xml:space="preserve"> </w:t>
      </w:r>
      <w:r w:rsidR="002640E2">
        <w:t xml:space="preserve"> </w:t>
      </w:r>
    </w:p>
    <w:p w:rsidR="00E9307C" w:rsidRDefault="00E9307C" w:rsidP="007B1E83">
      <w:pPr>
        <w:spacing w:after="0" w:line="240" w:lineRule="auto"/>
      </w:pPr>
    </w:p>
    <w:p w:rsidR="00E9307C" w:rsidRDefault="00251305" w:rsidP="007B1E83">
      <w:pPr>
        <w:spacing w:after="0" w:line="240" w:lineRule="auto"/>
      </w:pPr>
      <w:r>
        <w:t>Secondly, we also introduced</w:t>
      </w:r>
      <w:r w:rsidR="00E9307C">
        <w:t xml:space="preserve"> this in</w:t>
      </w:r>
      <w:r w:rsidR="00807D9B">
        <w:t>strument to allow access to</w:t>
      </w:r>
      <w:r w:rsidR="00E9307C">
        <w:t xml:space="preserve"> education </w:t>
      </w:r>
      <w:r w:rsidR="00807D9B">
        <w:t xml:space="preserve">provided by HESP institutions </w:t>
      </w:r>
      <w:r w:rsidR="00E9307C">
        <w:t>to students to whom this would otherwise n</w:t>
      </w:r>
      <w:r w:rsidR="00807D9B">
        <w:t>ot been affordable</w:t>
      </w:r>
      <w:r>
        <w:t>, aprticularly</w:t>
      </w:r>
      <w:r w:rsidR="00807D9B">
        <w:t xml:space="preserve"> by means of adding a maintenance element to scholarships.</w:t>
      </w:r>
    </w:p>
    <w:p w:rsidR="00E9307C" w:rsidRDefault="00E9307C" w:rsidP="007B1E83">
      <w:pPr>
        <w:spacing w:after="0" w:line="240" w:lineRule="auto"/>
      </w:pPr>
    </w:p>
    <w:p w:rsidR="00E9307C" w:rsidRDefault="00E9307C" w:rsidP="007B1E83">
      <w:pPr>
        <w:spacing w:after="0" w:line="240" w:lineRule="auto"/>
      </w:pPr>
    </w:p>
    <w:p w:rsidR="00E9307C" w:rsidRPr="00E9307C" w:rsidRDefault="00E9307C" w:rsidP="007B1E83">
      <w:pPr>
        <w:spacing w:after="0" w:line="240" w:lineRule="auto"/>
        <w:rPr>
          <w:u w:val="single"/>
        </w:rPr>
      </w:pPr>
      <w:r w:rsidRPr="00E9307C">
        <w:rPr>
          <w:u w:val="single"/>
        </w:rPr>
        <w:t>Conclusions</w:t>
      </w:r>
    </w:p>
    <w:p w:rsidR="00871478" w:rsidRDefault="00125503" w:rsidP="00CE3D67">
      <w:pPr>
        <w:spacing w:after="0" w:line="240" w:lineRule="auto"/>
      </w:pPr>
      <w:r>
        <w:t>In a retrospect it is surprising to notice</w:t>
      </w:r>
      <w:r w:rsidR="00442974">
        <w:t xml:space="preserve"> how easily some of the most important questions regarding HESP supporting independent higher education in Central-East European – </w:t>
      </w:r>
      <w:r w:rsidR="00251305">
        <w:t xml:space="preserve">the </w:t>
      </w:r>
      <w:r w:rsidR="00442974">
        <w:t xml:space="preserve">former Soviet Union countries – the purpose of providing that support and the grantees </w:t>
      </w:r>
      <w:r w:rsidR="0002471A">
        <w:t>meeting the purpose of our funding – became ignored, if not removed from the agenda</w:t>
      </w:r>
      <w:r w:rsidR="00807D9B">
        <w:t xml:space="preserve"> very early on</w:t>
      </w:r>
      <w:r w:rsidR="0002471A">
        <w:t>. However, we also see that such goals are relatively easy to set without a</w:t>
      </w:r>
      <w:r w:rsidR="00871478">
        <w:t>ny further</w:t>
      </w:r>
      <w:r w:rsidR="0002471A">
        <w:t xml:space="preserve"> need to refer to the mysteries of human creativity and </w:t>
      </w:r>
      <w:r>
        <w:t xml:space="preserve">unfathomable </w:t>
      </w:r>
      <w:r w:rsidR="00871478">
        <w:t>nature of the scientific genius. Progress made towards achieving these goals can also be assessed.</w:t>
      </w:r>
    </w:p>
    <w:p w:rsidR="00871478" w:rsidRDefault="00871478" w:rsidP="00CE3D67">
      <w:pPr>
        <w:spacing w:after="0" w:line="240" w:lineRule="auto"/>
      </w:pPr>
    </w:p>
    <w:p w:rsidR="00CE3D67" w:rsidRDefault="00871478" w:rsidP="00CE3D67">
      <w:pPr>
        <w:spacing w:after="0" w:line="240" w:lineRule="auto"/>
      </w:pPr>
      <w:r>
        <w:t>Thinking about the initial choice HESP made to support independent, newly established higher education institutions in the CEE-fSU</w:t>
      </w:r>
      <w:r w:rsidR="00595A5F">
        <w:t xml:space="preserve"> </w:t>
      </w:r>
      <w:r w:rsidR="00807D9B">
        <w:t>region</w:t>
      </w:r>
      <w:r w:rsidR="00320564">
        <w:t xml:space="preserve"> we can say in </w:t>
      </w:r>
      <w:r>
        <w:t xml:space="preserve">hindsight that the premise on which this was based </w:t>
      </w:r>
      <w:r w:rsidR="00552F90">
        <w:t>–</w:t>
      </w:r>
      <w:r>
        <w:t xml:space="preserve"> </w:t>
      </w:r>
      <w:r w:rsidR="00552F90">
        <w:t>disappearance of the previous higher education systems and institutions and the emerging need to build entire new sectors</w:t>
      </w:r>
      <w:r w:rsidR="00320564">
        <w:t>,</w:t>
      </w:r>
      <w:r w:rsidR="00552F90">
        <w:t xml:space="preserve"> was to a si</w:t>
      </w:r>
      <w:r w:rsidR="00807D9B">
        <w:t>gnificant degree misplaced</w:t>
      </w:r>
      <w:r w:rsidR="00552F90">
        <w:t>. Accordingly the level of effort and resources required to build stable institutions of higher education in such environment was underestimated. F</w:t>
      </w:r>
      <w:r w:rsidR="00807D9B">
        <w:t>or the expanding HESP program to</w:t>
      </w:r>
      <w:r w:rsidR="00552F90">
        <w:t xml:space="preserve"> other world regions the lesson from this portfolio </w:t>
      </w:r>
      <w:r w:rsidR="001B0B7F">
        <w:t>would be to be considerably more conservative about</w:t>
      </w:r>
      <w:r w:rsidR="00807D9B">
        <w:t xml:space="preserve"> entering such projects, requiring</w:t>
      </w:r>
      <w:r w:rsidR="001B0B7F">
        <w:t xml:space="preserve"> realistic </w:t>
      </w:r>
      <w:r w:rsidR="00807D9B">
        <w:t xml:space="preserve">development </w:t>
      </w:r>
      <w:r w:rsidR="001B0B7F">
        <w:t xml:space="preserve">plans </w:t>
      </w:r>
      <w:r w:rsidR="00807D9B">
        <w:t xml:space="preserve">as a precondition </w:t>
      </w:r>
      <w:r w:rsidR="001B0B7F">
        <w:t>and possibly building partnerships with other funding organizations</w:t>
      </w:r>
      <w:r w:rsidR="00807D9B">
        <w:t>. The reasons for funding such institutions</w:t>
      </w:r>
      <w:r w:rsidR="001B0B7F">
        <w:t xml:space="preserve"> </w:t>
      </w:r>
      <w:r w:rsidR="00807D9B">
        <w:t xml:space="preserve">should be </w:t>
      </w:r>
      <w:r w:rsidR="001B0B7F">
        <w:t>clearly establish</w:t>
      </w:r>
      <w:r w:rsidR="00807D9B">
        <w:t>ed</w:t>
      </w:r>
      <w:r w:rsidR="001B0B7F">
        <w:t>. In case</w:t>
      </w:r>
      <w:r w:rsidR="00807D9B">
        <w:t>s</w:t>
      </w:r>
      <w:r w:rsidR="001B0B7F">
        <w:t xml:space="preserve"> the same </w:t>
      </w:r>
      <w:r w:rsidR="00807D9B">
        <w:t>or sufficiently similar goals w</w:t>
      </w:r>
      <w:r w:rsidR="001B0B7F">
        <w:t xml:space="preserve">ould </w:t>
      </w:r>
      <w:r w:rsidR="00807D9B">
        <w:t xml:space="preserve">be achievable by means other than founding new organizations, </w:t>
      </w:r>
      <w:r w:rsidR="001B0B7F">
        <w:t xml:space="preserve">serious attention should be paid to such </w:t>
      </w:r>
      <w:r w:rsidR="00320564">
        <w:t xml:space="preserve">alternative </w:t>
      </w:r>
      <w:r w:rsidR="001B0B7F">
        <w:t>options.</w:t>
      </w:r>
      <w:r>
        <w:t xml:space="preserve"> </w:t>
      </w:r>
      <w:r w:rsidR="00442974">
        <w:t xml:space="preserve"> </w:t>
      </w:r>
    </w:p>
    <w:p w:rsidR="001E4D60" w:rsidRDefault="001E4D60" w:rsidP="00CE3D67">
      <w:pPr>
        <w:spacing w:after="0" w:line="240" w:lineRule="auto"/>
      </w:pPr>
    </w:p>
    <w:p w:rsidR="001E4D60" w:rsidRDefault="001E4D60" w:rsidP="00CE3D67">
      <w:pPr>
        <w:spacing w:after="0" w:line="240" w:lineRule="auto"/>
      </w:pPr>
    </w:p>
    <w:p w:rsidR="001E4D60" w:rsidRDefault="001E4D60" w:rsidP="00CE3D67">
      <w:pPr>
        <w:spacing w:after="0" w:line="240" w:lineRule="auto"/>
      </w:pPr>
    </w:p>
    <w:p w:rsidR="001E4D60" w:rsidRDefault="001E4D60" w:rsidP="00CE3D67">
      <w:pPr>
        <w:spacing w:after="0" w:line="240" w:lineRule="auto"/>
      </w:pPr>
    </w:p>
    <w:sectPr w:rsidR="001E4D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6C5906"/>
    <w:multiLevelType w:val="hybridMultilevel"/>
    <w:tmpl w:val="997A488E"/>
    <w:lvl w:ilvl="0" w:tplc="A4A61186">
      <w:start w:val="1"/>
      <w:numFmt w:val="decimal"/>
      <w:lvlText w:val="%1."/>
      <w:lvlJc w:val="left"/>
      <w:pPr>
        <w:ind w:left="510" w:hanging="360"/>
      </w:pPr>
      <w:rPr>
        <w:rFonts w:hint="default"/>
      </w:rPr>
    </w:lvl>
    <w:lvl w:ilvl="1" w:tplc="08090019" w:tentative="1">
      <w:start w:val="1"/>
      <w:numFmt w:val="lowerLetter"/>
      <w:lvlText w:val="%2."/>
      <w:lvlJc w:val="left"/>
      <w:pPr>
        <w:ind w:left="1230" w:hanging="360"/>
      </w:pPr>
    </w:lvl>
    <w:lvl w:ilvl="2" w:tplc="0809001B" w:tentative="1">
      <w:start w:val="1"/>
      <w:numFmt w:val="lowerRoman"/>
      <w:lvlText w:val="%3."/>
      <w:lvlJc w:val="right"/>
      <w:pPr>
        <w:ind w:left="1950" w:hanging="180"/>
      </w:pPr>
    </w:lvl>
    <w:lvl w:ilvl="3" w:tplc="0809000F" w:tentative="1">
      <w:start w:val="1"/>
      <w:numFmt w:val="decimal"/>
      <w:lvlText w:val="%4."/>
      <w:lvlJc w:val="left"/>
      <w:pPr>
        <w:ind w:left="2670" w:hanging="360"/>
      </w:pPr>
    </w:lvl>
    <w:lvl w:ilvl="4" w:tplc="08090019" w:tentative="1">
      <w:start w:val="1"/>
      <w:numFmt w:val="lowerLetter"/>
      <w:lvlText w:val="%5."/>
      <w:lvlJc w:val="left"/>
      <w:pPr>
        <w:ind w:left="3390" w:hanging="360"/>
      </w:pPr>
    </w:lvl>
    <w:lvl w:ilvl="5" w:tplc="0809001B" w:tentative="1">
      <w:start w:val="1"/>
      <w:numFmt w:val="lowerRoman"/>
      <w:lvlText w:val="%6."/>
      <w:lvlJc w:val="right"/>
      <w:pPr>
        <w:ind w:left="4110" w:hanging="180"/>
      </w:pPr>
    </w:lvl>
    <w:lvl w:ilvl="6" w:tplc="0809000F" w:tentative="1">
      <w:start w:val="1"/>
      <w:numFmt w:val="decimal"/>
      <w:lvlText w:val="%7."/>
      <w:lvlJc w:val="left"/>
      <w:pPr>
        <w:ind w:left="4830" w:hanging="360"/>
      </w:pPr>
    </w:lvl>
    <w:lvl w:ilvl="7" w:tplc="08090019" w:tentative="1">
      <w:start w:val="1"/>
      <w:numFmt w:val="lowerLetter"/>
      <w:lvlText w:val="%8."/>
      <w:lvlJc w:val="left"/>
      <w:pPr>
        <w:ind w:left="5550" w:hanging="360"/>
      </w:pPr>
    </w:lvl>
    <w:lvl w:ilvl="8" w:tplc="0809001B" w:tentative="1">
      <w:start w:val="1"/>
      <w:numFmt w:val="lowerRoman"/>
      <w:lvlText w:val="%9."/>
      <w:lvlJc w:val="right"/>
      <w:pPr>
        <w:ind w:left="6270" w:hanging="180"/>
      </w:pPr>
    </w:lvl>
  </w:abstractNum>
  <w:abstractNum w:abstractNumId="1">
    <w:nsid w:val="3EDD52EC"/>
    <w:multiLevelType w:val="hybridMultilevel"/>
    <w:tmpl w:val="4DF670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88D5437"/>
    <w:multiLevelType w:val="hybridMultilevel"/>
    <w:tmpl w:val="ED3006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B9F1302"/>
    <w:multiLevelType w:val="hybridMultilevel"/>
    <w:tmpl w:val="C756EBE2"/>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1CC"/>
    <w:rsid w:val="00004BA1"/>
    <w:rsid w:val="0002471A"/>
    <w:rsid w:val="000529DE"/>
    <w:rsid w:val="000908E9"/>
    <w:rsid w:val="000B5745"/>
    <w:rsid w:val="00114522"/>
    <w:rsid w:val="00125503"/>
    <w:rsid w:val="00171242"/>
    <w:rsid w:val="001A11F4"/>
    <w:rsid w:val="001B0B7F"/>
    <w:rsid w:val="001E4D60"/>
    <w:rsid w:val="002052DE"/>
    <w:rsid w:val="00251305"/>
    <w:rsid w:val="002640E2"/>
    <w:rsid w:val="002841CC"/>
    <w:rsid w:val="00320564"/>
    <w:rsid w:val="00361651"/>
    <w:rsid w:val="00440AFB"/>
    <w:rsid w:val="00442974"/>
    <w:rsid w:val="00474E8F"/>
    <w:rsid w:val="004D4CD3"/>
    <w:rsid w:val="00532CB6"/>
    <w:rsid w:val="00552F90"/>
    <w:rsid w:val="0056049D"/>
    <w:rsid w:val="00595A5F"/>
    <w:rsid w:val="005B42A8"/>
    <w:rsid w:val="005D2EDC"/>
    <w:rsid w:val="0065403E"/>
    <w:rsid w:val="00702F7A"/>
    <w:rsid w:val="007B1E83"/>
    <w:rsid w:val="007B4260"/>
    <w:rsid w:val="007D67CD"/>
    <w:rsid w:val="00807D9B"/>
    <w:rsid w:val="00871478"/>
    <w:rsid w:val="00885008"/>
    <w:rsid w:val="00887F75"/>
    <w:rsid w:val="008925B4"/>
    <w:rsid w:val="008A61A4"/>
    <w:rsid w:val="00946103"/>
    <w:rsid w:val="009572F0"/>
    <w:rsid w:val="00964D3B"/>
    <w:rsid w:val="00972F71"/>
    <w:rsid w:val="009C303F"/>
    <w:rsid w:val="00A036EA"/>
    <w:rsid w:val="00A668F2"/>
    <w:rsid w:val="00AB214F"/>
    <w:rsid w:val="00AD2912"/>
    <w:rsid w:val="00AF34AB"/>
    <w:rsid w:val="00AF6956"/>
    <w:rsid w:val="00B03244"/>
    <w:rsid w:val="00B51281"/>
    <w:rsid w:val="00BF20E3"/>
    <w:rsid w:val="00CA4C5C"/>
    <w:rsid w:val="00CE3D67"/>
    <w:rsid w:val="00D76AB8"/>
    <w:rsid w:val="00DF07AF"/>
    <w:rsid w:val="00E41FDB"/>
    <w:rsid w:val="00E5444C"/>
    <w:rsid w:val="00E9307C"/>
    <w:rsid w:val="00EB53CA"/>
    <w:rsid w:val="00ED5E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53CA"/>
    <w:pPr>
      <w:ind w:left="720"/>
      <w:contextualSpacing/>
    </w:pPr>
  </w:style>
  <w:style w:type="paragraph" w:styleId="BalloonText">
    <w:name w:val="Balloon Text"/>
    <w:basedOn w:val="Normal"/>
    <w:link w:val="BalloonTextChar"/>
    <w:uiPriority w:val="99"/>
    <w:semiHidden/>
    <w:unhideWhenUsed/>
    <w:rsid w:val="00E41F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F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53CA"/>
    <w:pPr>
      <w:ind w:left="720"/>
      <w:contextualSpacing/>
    </w:pPr>
  </w:style>
  <w:style w:type="paragraph" w:styleId="BalloonText">
    <w:name w:val="Balloon Text"/>
    <w:basedOn w:val="Normal"/>
    <w:link w:val="BalloonTextChar"/>
    <w:uiPriority w:val="99"/>
    <w:semiHidden/>
    <w:unhideWhenUsed/>
    <w:rsid w:val="00E41F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F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2077</Words>
  <Characters>11844</Characters>
  <Application>Microsoft Office Word</Application>
  <DocSecurity>4</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Voldemar Tomusk</dc:creator>
  <cp:lastModifiedBy>Daphne Panayotatos</cp:lastModifiedBy>
  <cp:revision>2</cp:revision>
  <cp:lastPrinted>2015-08-19T10:33:00Z</cp:lastPrinted>
  <dcterms:created xsi:type="dcterms:W3CDTF">2015-09-21T13:57:00Z</dcterms:created>
  <dcterms:modified xsi:type="dcterms:W3CDTF">2015-09-21T13:57:00Z</dcterms:modified>
</cp:coreProperties>
</file>